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DA51BC" w14:paraId="63C924DF" w14:textId="77777777" w:rsidTr="0011449F">
        <w:trPr>
          <w:cantSplit/>
          <w:trHeight w:val="569"/>
        </w:trPr>
        <w:tc>
          <w:tcPr>
            <w:tcW w:w="4786" w:type="dxa"/>
            <w:tcBorders>
              <w:top w:val="single" w:sz="4" w:space="0" w:color="auto"/>
            </w:tcBorders>
            <w:shd w:val="clear" w:color="auto" w:fill="BFBFBF"/>
            <w:vAlign w:val="center"/>
          </w:tcPr>
          <w:p w14:paraId="63C924DC" w14:textId="77777777" w:rsidR="0011449F" w:rsidRPr="00D4431F" w:rsidRDefault="00F955EB"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63C924DD" w14:textId="77777777" w:rsidR="0011449F" w:rsidRPr="00D4431F" w:rsidRDefault="00F955EB"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63C924DE" w14:textId="77777777" w:rsidR="0011449F" w:rsidRPr="00D4431F" w:rsidRDefault="00F955EB"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63C92563" wp14:editId="63C92564">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726843355"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DA51BC" w14:paraId="63C924E3" w14:textId="77777777" w:rsidTr="00661C64">
        <w:trPr>
          <w:cantSplit/>
          <w:trHeight w:val="654"/>
        </w:trPr>
        <w:tc>
          <w:tcPr>
            <w:tcW w:w="4786" w:type="dxa"/>
            <w:tcBorders>
              <w:bottom w:val="nil"/>
            </w:tcBorders>
            <w:vAlign w:val="center"/>
          </w:tcPr>
          <w:p w14:paraId="63C924E0" w14:textId="77777777" w:rsidR="0011449F" w:rsidRPr="00D4431F" w:rsidRDefault="00F955EB" w:rsidP="00661C64">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Council</w:t>
            </w:r>
            <w:r>
              <w:rPr>
                <w:rFonts w:cstheme="minorHAnsi"/>
                <w:b/>
                <w:bCs/>
              </w:rPr>
              <w:fldChar w:fldCharType="end"/>
            </w:r>
          </w:p>
        </w:tc>
        <w:tc>
          <w:tcPr>
            <w:tcW w:w="2268" w:type="dxa"/>
            <w:tcBorders>
              <w:bottom w:val="nil"/>
              <w:right w:val="single" w:sz="4" w:space="0" w:color="auto"/>
            </w:tcBorders>
            <w:vAlign w:val="center"/>
          </w:tcPr>
          <w:p w14:paraId="63C924E1" w14:textId="77777777" w:rsidR="0011449F" w:rsidRPr="00D4431F" w:rsidRDefault="00F955EB" w:rsidP="00661C64">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19 May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63C924E2" w14:textId="77777777" w:rsidR="0011449F" w:rsidRDefault="00F955EB" w:rsidP="006149F1">
            <w:pPr>
              <w:spacing w:line="240" w:lineRule="auto"/>
              <w:jc w:val="center"/>
              <w:rPr>
                <w:rFonts w:cstheme="minorHAnsi"/>
                <w:b/>
                <w:bCs/>
              </w:rPr>
            </w:pPr>
          </w:p>
        </w:tc>
      </w:tr>
      <w:tr w:rsidR="00DA51BC" w14:paraId="63C924E6" w14:textId="77777777" w:rsidTr="0011449F">
        <w:trPr>
          <w:cantSplit/>
          <w:trHeight w:val="560"/>
        </w:trPr>
        <w:tc>
          <w:tcPr>
            <w:tcW w:w="7054" w:type="dxa"/>
            <w:gridSpan w:val="2"/>
            <w:tcBorders>
              <w:left w:val="nil"/>
              <w:right w:val="nil"/>
            </w:tcBorders>
          </w:tcPr>
          <w:p w14:paraId="63C924E4" w14:textId="77777777" w:rsidR="0011449F" w:rsidRPr="00D4431F" w:rsidRDefault="00F955EB"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63C924E5" w14:textId="77777777" w:rsidR="0011449F" w:rsidRPr="00D4431F" w:rsidRDefault="00F955EB" w:rsidP="00D4431F">
            <w:pPr>
              <w:spacing w:line="240" w:lineRule="auto"/>
              <w:jc w:val="both"/>
              <w:rPr>
                <w:rFonts w:cstheme="minorHAnsi"/>
                <w:b/>
                <w:bCs/>
              </w:rPr>
            </w:pPr>
          </w:p>
        </w:tc>
      </w:tr>
      <w:tr w:rsidR="00DA51BC" w14:paraId="63C924E9" w14:textId="77777777" w:rsidTr="0011449F">
        <w:trPr>
          <w:cantSplit/>
        </w:trPr>
        <w:tc>
          <w:tcPr>
            <w:tcW w:w="7366" w:type="dxa"/>
            <w:gridSpan w:val="3"/>
            <w:shd w:val="clear" w:color="auto" w:fill="BFBFBF"/>
            <w:vAlign w:val="center"/>
          </w:tcPr>
          <w:p w14:paraId="63C924E7" w14:textId="77777777" w:rsidR="0011449F" w:rsidRDefault="00F955EB"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63C924E8" w14:textId="77777777" w:rsidR="0011449F" w:rsidRPr="00D4431F" w:rsidRDefault="00F955EB" w:rsidP="001B5749">
            <w:pPr>
              <w:spacing w:line="240" w:lineRule="auto"/>
              <w:jc w:val="center"/>
              <w:rPr>
                <w:rFonts w:cstheme="minorHAnsi"/>
                <w:b/>
                <w:bCs/>
              </w:rPr>
            </w:pPr>
            <w:r>
              <w:rPr>
                <w:rFonts w:cstheme="minorHAnsi"/>
                <w:b/>
                <w:bCs/>
              </w:rPr>
              <w:t>Report of</w:t>
            </w:r>
          </w:p>
        </w:tc>
      </w:tr>
      <w:tr w:rsidR="00DA51BC" w14:paraId="63C924EC" w14:textId="77777777" w:rsidTr="0011449F">
        <w:trPr>
          <w:cantSplit/>
          <w:trHeight w:val="667"/>
        </w:trPr>
        <w:tc>
          <w:tcPr>
            <w:tcW w:w="7366" w:type="dxa"/>
            <w:gridSpan w:val="3"/>
            <w:vAlign w:val="center"/>
          </w:tcPr>
          <w:p w14:paraId="63C924EA" w14:textId="77777777" w:rsidR="0011449F" w:rsidRPr="0011449F" w:rsidRDefault="00F955EB"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Community</w:t>
            </w:r>
            <w:r w:rsidRPr="0011449F">
              <w:rPr>
                <w:rFonts w:asciiTheme="majorHAnsi" w:hAnsiTheme="majorHAnsi" w:cstheme="majorHAnsi"/>
                <w:b/>
              </w:rPr>
              <w:t xml:space="preserve"> Hubs Boost Fund - Round One Allocations</w:t>
            </w:r>
            <w:r w:rsidRPr="0011449F">
              <w:rPr>
                <w:rFonts w:asciiTheme="majorHAnsi" w:hAnsiTheme="majorHAnsi" w:cstheme="majorHAnsi"/>
                <w:b/>
              </w:rPr>
              <w:fldChar w:fldCharType="end"/>
            </w:r>
          </w:p>
        </w:tc>
        <w:tc>
          <w:tcPr>
            <w:tcW w:w="2410" w:type="dxa"/>
            <w:vAlign w:val="center"/>
          </w:tcPr>
          <w:p w14:paraId="63C924EB" w14:textId="77777777" w:rsidR="0011449F" w:rsidRPr="00D4431F" w:rsidRDefault="00F955EB"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Communities</w:t>
            </w:r>
            <w:r w:rsidRPr="00D4431F">
              <w:rPr>
                <w:rFonts w:cstheme="minorHAnsi"/>
                <w:b/>
                <w:bCs/>
                <w:lang w:val="en-US"/>
              </w:rPr>
              <w:fldChar w:fldCharType="end"/>
            </w:r>
          </w:p>
        </w:tc>
      </w:tr>
    </w:tbl>
    <w:p w14:paraId="63C924ED" w14:textId="77777777" w:rsidR="00D4431F" w:rsidRPr="00D4431F" w:rsidRDefault="00F955EB"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A51BC" w14:paraId="63C924F0" w14:textId="77777777" w:rsidTr="00661C64">
        <w:trPr>
          <w:trHeight w:val="451"/>
        </w:trPr>
        <w:tc>
          <w:tcPr>
            <w:tcW w:w="6652" w:type="dxa"/>
            <w:shd w:val="clear" w:color="auto" w:fill="auto"/>
            <w:vAlign w:val="center"/>
          </w:tcPr>
          <w:p w14:paraId="63C924EE" w14:textId="77777777" w:rsidR="00D4431F" w:rsidRPr="00D4431F" w:rsidRDefault="00F955EB" w:rsidP="00661C64">
            <w:pPr>
              <w:spacing w:after="0" w:line="240" w:lineRule="auto"/>
              <w:rPr>
                <w:rFonts w:cstheme="minorHAnsi"/>
                <w:bCs/>
              </w:rPr>
            </w:pPr>
            <w:r w:rsidRPr="00D4431F">
              <w:rPr>
                <w:rFonts w:cstheme="minorHAnsi"/>
                <w:bCs/>
              </w:rPr>
              <w:t>Is this report confidential?</w:t>
            </w:r>
          </w:p>
        </w:tc>
        <w:tc>
          <w:tcPr>
            <w:tcW w:w="3266" w:type="dxa"/>
            <w:shd w:val="clear" w:color="auto" w:fill="auto"/>
            <w:vAlign w:val="center"/>
          </w:tcPr>
          <w:p w14:paraId="63C924EF" w14:textId="77777777" w:rsidR="004E6097" w:rsidRPr="004E6097" w:rsidRDefault="00F955EB" w:rsidP="00661C64">
            <w:pPr>
              <w:spacing w:after="0" w:line="240" w:lineRule="auto"/>
              <w:rPr>
                <w:rFonts w:cstheme="minorHAnsi"/>
                <w:bCs/>
              </w:rPr>
            </w:pPr>
            <w:r w:rsidRPr="00D4431F">
              <w:rPr>
                <w:rFonts w:cstheme="minorHAnsi"/>
                <w:bCs/>
              </w:rPr>
              <w:t xml:space="preserve">No </w:t>
            </w:r>
          </w:p>
        </w:tc>
      </w:tr>
    </w:tbl>
    <w:p w14:paraId="63C924F1" w14:textId="77777777" w:rsidR="00D4431F" w:rsidRPr="00D4431F" w:rsidRDefault="00F955EB" w:rsidP="00D4431F">
      <w:pPr>
        <w:spacing w:line="240" w:lineRule="auto"/>
        <w:jc w:val="both"/>
        <w:rPr>
          <w:rFonts w:cstheme="minorHAnsi"/>
          <w:b/>
          <w:bCs/>
        </w:rPr>
      </w:pPr>
    </w:p>
    <w:p w14:paraId="63C924F2" w14:textId="77777777" w:rsidR="00D4431F" w:rsidRPr="00CA04F3" w:rsidRDefault="00F955EB"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63C924F3" w14:textId="77777777" w:rsidR="006149F1" w:rsidRPr="00CA04F3" w:rsidRDefault="00F955EB" w:rsidP="007B00D7">
      <w:pPr>
        <w:numPr>
          <w:ilvl w:val="0"/>
          <w:numId w:val="8"/>
        </w:numPr>
        <w:spacing w:after="0" w:line="240" w:lineRule="auto"/>
        <w:rPr>
          <w:rFonts w:cstheme="minorHAnsi"/>
          <w:bCs/>
          <w:i/>
        </w:rPr>
      </w:pPr>
      <w:r w:rsidRPr="00D4431F">
        <w:rPr>
          <w:rFonts w:cstheme="minorHAnsi"/>
          <w:bCs/>
          <w:i/>
        </w:rPr>
        <w:t xml:space="preserve"> </w:t>
      </w:r>
      <w:r>
        <w:rPr>
          <w:rFonts w:cstheme="minorHAnsi"/>
          <w:bCs/>
          <w:iCs/>
        </w:rPr>
        <w:t>Confirmation of allocations from round one of the Community Hubs Boost Fund.</w:t>
      </w:r>
    </w:p>
    <w:p w14:paraId="63C924F4" w14:textId="77777777" w:rsidR="006149F1"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63C924F5" w14:textId="77777777" w:rsidR="00D94F87" w:rsidRPr="00D94F87" w:rsidRDefault="00F955EB" w:rsidP="007B00D7">
      <w:pPr>
        <w:numPr>
          <w:ilvl w:val="0"/>
          <w:numId w:val="8"/>
        </w:numPr>
        <w:spacing w:after="0" w:line="240" w:lineRule="auto"/>
        <w:rPr>
          <w:rFonts w:cstheme="minorHAnsi"/>
          <w:bCs/>
          <w:iCs/>
        </w:rPr>
      </w:pPr>
      <w:r w:rsidRPr="00D94F87">
        <w:rPr>
          <w:rFonts w:cstheme="minorHAnsi"/>
          <w:bCs/>
          <w:iCs/>
        </w:rPr>
        <w:t xml:space="preserve">Council notes the following allocations from round one of the Community Hubs Boost Fund.  </w:t>
      </w:r>
    </w:p>
    <w:p w14:paraId="63C924F6" w14:textId="77777777" w:rsidR="00661C64" w:rsidRDefault="00F955EB" w:rsidP="00661C64">
      <w:pPr>
        <w:spacing w:after="0" w:line="240" w:lineRule="auto"/>
        <w:ind w:left="720"/>
        <w:jc w:val="both"/>
        <w:rPr>
          <w:rFonts w:cstheme="minorHAnsi"/>
          <w:bCs/>
          <w:iCs/>
        </w:rPr>
      </w:pPr>
    </w:p>
    <w:tbl>
      <w:tblPr>
        <w:tblStyle w:val="TableGrid"/>
        <w:tblW w:w="9072" w:type="dxa"/>
        <w:tblInd w:w="279" w:type="dxa"/>
        <w:tblLook w:val="04A0" w:firstRow="1" w:lastRow="0" w:firstColumn="1" w:lastColumn="0" w:noHBand="0" w:noVBand="1"/>
      </w:tblPr>
      <w:tblGrid>
        <w:gridCol w:w="3185"/>
        <w:gridCol w:w="4469"/>
        <w:gridCol w:w="1418"/>
      </w:tblGrid>
      <w:tr w:rsidR="00DA51BC" w14:paraId="63C924FA" w14:textId="77777777" w:rsidTr="00661C64">
        <w:trPr>
          <w:trHeight w:val="343"/>
        </w:trPr>
        <w:tc>
          <w:tcPr>
            <w:tcW w:w="3185" w:type="dxa"/>
            <w:vAlign w:val="center"/>
          </w:tcPr>
          <w:p w14:paraId="63C924F7" w14:textId="77777777" w:rsidR="00661C64" w:rsidRPr="00661C64" w:rsidRDefault="00F955EB" w:rsidP="00661C64">
            <w:pPr>
              <w:jc w:val="center"/>
              <w:rPr>
                <w:rFonts w:cstheme="minorHAnsi"/>
                <w:b/>
                <w:iCs/>
              </w:rPr>
            </w:pPr>
            <w:r w:rsidRPr="00661C64">
              <w:rPr>
                <w:rFonts w:cstheme="minorHAnsi"/>
                <w:b/>
                <w:iCs/>
              </w:rPr>
              <w:t>Hub</w:t>
            </w:r>
          </w:p>
        </w:tc>
        <w:tc>
          <w:tcPr>
            <w:tcW w:w="4469" w:type="dxa"/>
            <w:vAlign w:val="center"/>
          </w:tcPr>
          <w:p w14:paraId="63C924F8" w14:textId="77777777" w:rsidR="00661C64" w:rsidRPr="00661C64" w:rsidRDefault="00F955EB" w:rsidP="00661C64">
            <w:pPr>
              <w:jc w:val="center"/>
              <w:rPr>
                <w:rFonts w:cstheme="minorHAnsi"/>
                <w:b/>
                <w:iCs/>
              </w:rPr>
            </w:pPr>
            <w:r w:rsidRPr="00661C64">
              <w:rPr>
                <w:rFonts w:cstheme="minorHAnsi"/>
                <w:b/>
                <w:iCs/>
              </w:rPr>
              <w:t>Project</w:t>
            </w:r>
          </w:p>
        </w:tc>
        <w:tc>
          <w:tcPr>
            <w:tcW w:w="1418" w:type="dxa"/>
            <w:vAlign w:val="center"/>
          </w:tcPr>
          <w:p w14:paraId="63C924F9" w14:textId="77777777" w:rsidR="007B00D7" w:rsidRPr="00661C64" w:rsidRDefault="00F955EB" w:rsidP="007B00D7">
            <w:pPr>
              <w:jc w:val="center"/>
              <w:rPr>
                <w:rFonts w:cstheme="minorHAnsi"/>
                <w:b/>
                <w:iCs/>
              </w:rPr>
            </w:pPr>
            <w:r w:rsidRPr="00661C64">
              <w:rPr>
                <w:rFonts w:cstheme="minorHAnsi"/>
                <w:b/>
                <w:iCs/>
              </w:rPr>
              <w:t>Allocation</w:t>
            </w:r>
          </w:p>
        </w:tc>
      </w:tr>
      <w:tr w:rsidR="00DA51BC" w14:paraId="63C924FE" w14:textId="77777777" w:rsidTr="00661C64">
        <w:tc>
          <w:tcPr>
            <w:tcW w:w="3185" w:type="dxa"/>
          </w:tcPr>
          <w:p w14:paraId="63C924FB" w14:textId="77777777" w:rsidR="00661C64" w:rsidRDefault="00F955EB" w:rsidP="00661C64">
            <w:pPr>
              <w:rPr>
                <w:rFonts w:cstheme="minorHAnsi"/>
                <w:bCs/>
                <w:iCs/>
              </w:rPr>
            </w:pPr>
            <w:r>
              <w:rPr>
                <w:rFonts w:cstheme="minorHAnsi"/>
                <w:bCs/>
                <w:iCs/>
              </w:rPr>
              <w:t>Bamber Bridge, Lostock Hall &amp; Walton le Dale</w:t>
            </w:r>
          </w:p>
        </w:tc>
        <w:tc>
          <w:tcPr>
            <w:tcW w:w="4469" w:type="dxa"/>
          </w:tcPr>
          <w:p w14:paraId="63C924FC" w14:textId="77777777" w:rsidR="00661C64" w:rsidRDefault="00F955EB" w:rsidP="00661C64">
            <w:pPr>
              <w:rPr>
                <w:rFonts w:cstheme="minorHAnsi"/>
                <w:bCs/>
                <w:iCs/>
              </w:rPr>
            </w:pPr>
            <w:r>
              <w:rPr>
                <w:rFonts w:cstheme="minorHAnsi"/>
                <w:bCs/>
                <w:iCs/>
              </w:rPr>
              <w:t>Bamber Bridge Foodbank Premises</w:t>
            </w:r>
          </w:p>
        </w:tc>
        <w:tc>
          <w:tcPr>
            <w:tcW w:w="1418" w:type="dxa"/>
            <w:vAlign w:val="center"/>
          </w:tcPr>
          <w:p w14:paraId="63C924FD" w14:textId="77777777" w:rsidR="00661C64" w:rsidRDefault="00F955EB" w:rsidP="00661C64">
            <w:pPr>
              <w:jc w:val="center"/>
              <w:rPr>
                <w:rFonts w:cstheme="minorHAnsi"/>
                <w:bCs/>
                <w:iCs/>
              </w:rPr>
            </w:pPr>
            <w:r>
              <w:rPr>
                <w:rFonts w:cstheme="minorHAnsi"/>
                <w:bCs/>
                <w:iCs/>
              </w:rPr>
              <w:t>£7250</w:t>
            </w:r>
          </w:p>
        </w:tc>
      </w:tr>
      <w:tr w:rsidR="00DA51BC" w14:paraId="63C92502" w14:textId="77777777" w:rsidTr="00661C64">
        <w:tc>
          <w:tcPr>
            <w:tcW w:w="3185" w:type="dxa"/>
          </w:tcPr>
          <w:p w14:paraId="63C924FF" w14:textId="77777777" w:rsidR="00661C64" w:rsidRDefault="00F955EB" w:rsidP="00661C64">
            <w:pPr>
              <w:rPr>
                <w:rFonts w:cstheme="minorHAnsi"/>
                <w:bCs/>
                <w:iCs/>
              </w:rPr>
            </w:pPr>
            <w:r>
              <w:rPr>
                <w:rFonts w:cstheme="minorHAnsi"/>
                <w:bCs/>
                <w:iCs/>
              </w:rPr>
              <w:t>Eastern Parishes</w:t>
            </w:r>
          </w:p>
        </w:tc>
        <w:tc>
          <w:tcPr>
            <w:tcW w:w="4469" w:type="dxa"/>
          </w:tcPr>
          <w:p w14:paraId="63C92500" w14:textId="77777777" w:rsidR="00661C64" w:rsidRDefault="00F955EB" w:rsidP="00661C64">
            <w:pPr>
              <w:jc w:val="both"/>
              <w:rPr>
                <w:rFonts w:cstheme="minorHAnsi"/>
                <w:bCs/>
                <w:iCs/>
              </w:rPr>
            </w:pPr>
            <w:r>
              <w:rPr>
                <w:rFonts w:cstheme="minorHAnsi"/>
                <w:bCs/>
                <w:iCs/>
              </w:rPr>
              <w:t>Gregson Lane Changing Rooms</w:t>
            </w:r>
          </w:p>
        </w:tc>
        <w:tc>
          <w:tcPr>
            <w:tcW w:w="1418" w:type="dxa"/>
            <w:vAlign w:val="center"/>
          </w:tcPr>
          <w:p w14:paraId="63C92501" w14:textId="77777777" w:rsidR="00661C64" w:rsidRDefault="00F955EB" w:rsidP="00661C64">
            <w:pPr>
              <w:jc w:val="center"/>
              <w:rPr>
                <w:rFonts w:cstheme="minorHAnsi"/>
                <w:bCs/>
                <w:iCs/>
              </w:rPr>
            </w:pPr>
            <w:r>
              <w:rPr>
                <w:rFonts w:cstheme="minorHAnsi"/>
                <w:bCs/>
                <w:iCs/>
              </w:rPr>
              <w:t>£6307</w:t>
            </w:r>
          </w:p>
        </w:tc>
      </w:tr>
      <w:tr w:rsidR="00DA51BC" w14:paraId="63C92506" w14:textId="77777777" w:rsidTr="00661C64">
        <w:tc>
          <w:tcPr>
            <w:tcW w:w="3185" w:type="dxa"/>
            <w:vMerge w:val="restart"/>
            <w:vAlign w:val="center"/>
          </w:tcPr>
          <w:p w14:paraId="63C92503" w14:textId="77777777" w:rsidR="00661C64" w:rsidRDefault="00F955EB" w:rsidP="00661C64">
            <w:pPr>
              <w:rPr>
                <w:rFonts w:cstheme="minorHAnsi"/>
                <w:bCs/>
                <w:iCs/>
              </w:rPr>
            </w:pPr>
            <w:r>
              <w:rPr>
                <w:rFonts w:cstheme="minorHAnsi"/>
                <w:bCs/>
                <w:iCs/>
              </w:rPr>
              <w:t>Leyland &amp; Farington</w:t>
            </w:r>
          </w:p>
        </w:tc>
        <w:tc>
          <w:tcPr>
            <w:tcW w:w="4469" w:type="dxa"/>
          </w:tcPr>
          <w:p w14:paraId="63C92504" w14:textId="77777777" w:rsidR="00661C64" w:rsidRDefault="00F955EB" w:rsidP="00661C64">
            <w:pPr>
              <w:jc w:val="both"/>
              <w:rPr>
                <w:rFonts w:cstheme="minorHAnsi"/>
                <w:bCs/>
                <w:iCs/>
              </w:rPr>
            </w:pPr>
            <w:r>
              <w:rPr>
                <w:rFonts w:cstheme="minorHAnsi"/>
                <w:bCs/>
                <w:iCs/>
              </w:rPr>
              <w:t>Eagle &amp; Child Bowling Green Entrance</w:t>
            </w:r>
          </w:p>
        </w:tc>
        <w:tc>
          <w:tcPr>
            <w:tcW w:w="1418" w:type="dxa"/>
            <w:vAlign w:val="center"/>
          </w:tcPr>
          <w:p w14:paraId="63C92505" w14:textId="77777777" w:rsidR="00661C64" w:rsidRDefault="00F955EB" w:rsidP="00661C64">
            <w:pPr>
              <w:jc w:val="center"/>
              <w:rPr>
                <w:rFonts w:cstheme="minorHAnsi"/>
                <w:bCs/>
                <w:iCs/>
              </w:rPr>
            </w:pPr>
            <w:r>
              <w:rPr>
                <w:rFonts w:cstheme="minorHAnsi"/>
                <w:bCs/>
                <w:iCs/>
              </w:rPr>
              <w:t>£2500</w:t>
            </w:r>
          </w:p>
        </w:tc>
      </w:tr>
      <w:tr w:rsidR="00DA51BC" w14:paraId="63C9250A" w14:textId="77777777" w:rsidTr="00661C64">
        <w:tc>
          <w:tcPr>
            <w:tcW w:w="3185" w:type="dxa"/>
            <w:vMerge/>
          </w:tcPr>
          <w:p w14:paraId="63C92507" w14:textId="77777777" w:rsidR="00661C64" w:rsidRDefault="00F955EB" w:rsidP="00661C64">
            <w:pPr>
              <w:rPr>
                <w:rFonts w:cstheme="minorHAnsi"/>
                <w:bCs/>
                <w:iCs/>
              </w:rPr>
            </w:pPr>
          </w:p>
        </w:tc>
        <w:tc>
          <w:tcPr>
            <w:tcW w:w="4469" w:type="dxa"/>
          </w:tcPr>
          <w:p w14:paraId="63C92508" w14:textId="77777777" w:rsidR="00661C64" w:rsidRDefault="00F955EB" w:rsidP="00661C64">
            <w:pPr>
              <w:jc w:val="both"/>
              <w:rPr>
                <w:rFonts w:cstheme="minorHAnsi"/>
                <w:bCs/>
                <w:iCs/>
              </w:rPr>
            </w:pPr>
            <w:r>
              <w:rPr>
                <w:rFonts w:cstheme="minorHAnsi"/>
                <w:bCs/>
                <w:iCs/>
              </w:rPr>
              <w:t>Farington Lodges Improvements</w:t>
            </w:r>
          </w:p>
        </w:tc>
        <w:tc>
          <w:tcPr>
            <w:tcW w:w="1418" w:type="dxa"/>
            <w:vAlign w:val="center"/>
          </w:tcPr>
          <w:p w14:paraId="63C92509" w14:textId="77777777" w:rsidR="00661C64" w:rsidRDefault="00F955EB" w:rsidP="00661C64">
            <w:pPr>
              <w:jc w:val="center"/>
              <w:rPr>
                <w:rFonts w:cstheme="minorHAnsi"/>
                <w:bCs/>
                <w:iCs/>
              </w:rPr>
            </w:pPr>
            <w:r>
              <w:rPr>
                <w:rFonts w:cstheme="minorHAnsi"/>
                <w:bCs/>
                <w:iCs/>
              </w:rPr>
              <w:t>£3325</w:t>
            </w:r>
          </w:p>
        </w:tc>
      </w:tr>
      <w:tr w:rsidR="00DA51BC" w14:paraId="63C9250E" w14:textId="77777777" w:rsidTr="00661C64">
        <w:tc>
          <w:tcPr>
            <w:tcW w:w="3185" w:type="dxa"/>
            <w:vMerge w:val="restart"/>
            <w:vAlign w:val="center"/>
          </w:tcPr>
          <w:p w14:paraId="63C9250B" w14:textId="77777777" w:rsidR="00661C64" w:rsidRDefault="00F955EB" w:rsidP="00661C64">
            <w:pPr>
              <w:rPr>
                <w:rFonts w:cstheme="minorHAnsi"/>
                <w:bCs/>
                <w:iCs/>
              </w:rPr>
            </w:pPr>
            <w:r>
              <w:rPr>
                <w:rFonts w:cstheme="minorHAnsi"/>
                <w:bCs/>
                <w:iCs/>
              </w:rPr>
              <w:t>Penwortham</w:t>
            </w:r>
          </w:p>
        </w:tc>
        <w:tc>
          <w:tcPr>
            <w:tcW w:w="4469" w:type="dxa"/>
          </w:tcPr>
          <w:p w14:paraId="63C9250C" w14:textId="77777777" w:rsidR="00661C64" w:rsidRDefault="00F955EB" w:rsidP="00661C64">
            <w:pPr>
              <w:jc w:val="both"/>
              <w:rPr>
                <w:rFonts w:cstheme="minorHAnsi"/>
                <w:bCs/>
                <w:iCs/>
              </w:rPr>
            </w:pPr>
            <w:r>
              <w:rPr>
                <w:rFonts w:cstheme="minorHAnsi"/>
                <w:bCs/>
                <w:iCs/>
              </w:rPr>
              <w:t>Conservation Area Signage</w:t>
            </w:r>
          </w:p>
        </w:tc>
        <w:tc>
          <w:tcPr>
            <w:tcW w:w="1418" w:type="dxa"/>
            <w:vAlign w:val="center"/>
          </w:tcPr>
          <w:p w14:paraId="63C9250D" w14:textId="77777777" w:rsidR="00661C64" w:rsidRDefault="00F955EB" w:rsidP="00661C64">
            <w:pPr>
              <w:jc w:val="center"/>
              <w:rPr>
                <w:rFonts w:cstheme="minorHAnsi"/>
                <w:bCs/>
                <w:iCs/>
              </w:rPr>
            </w:pPr>
            <w:r>
              <w:rPr>
                <w:rFonts w:cstheme="minorHAnsi"/>
                <w:bCs/>
                <w:iCs/>
              </w:rPr>
              <w:t>£1020</w:t>
            </w:r>
          </w:p>
        </w:tc>
      </w:tr>
      <w:tr w:rsidR="00DA51BC" w14:paraId="63C92512" w14:textId="77777777" w:rsidTr="00661C64">
        <w:tc>
          <w:tcPr>
            <w:tcW w:w="3185" w:type="dxa"/>
            <w:vMerge/>
          </w:tcPr>
          <w:p w14:paraId="63C9250F" w14:textId="77777777" w:rsidR="00661C64" w:rsidRDefault="00F955EB" w:rsidP="00661C64">
            <w:pPr>
              <w:rPr>
                <w:rFonts w:cstheme="minorHAnsi"/>
                <w:bCs/>
                <w:iCs/>
              </w:rPr>
            </w:pPr>
          </w:p>
        </w:tc>
        <w:tc>
          <w:tcPr>
            <w:tcW w:w="4469" w:type="dxa"/>
          </w:tcPr>
          <w:p w14:paraId="63C92510" w14:textId="77777777" w:rsidR="00661C64" w:rsidRDefault="00F955EB" w:rsidP="00661C64">
            <w:pPr>
              <w:jc w:val="both"/>
              <w:rPr>
                <w:rFonts w:cstheme="minorHAnsi"/>
                <w:bCs/>
                <w:iCs/>
              </w:rPr>
            </w:pPr>
            <w:r>
              <w:rPr>
                <w:rFonts w:cstheme="minorHAnsi"/>
                <w:bCs/>
                <w:iCs/>
              </w:rPr>
              <w:t>Mental Health Awareness</w:t>
            </w:r>
          </w:p>
        </w:tc>
        <w:tc>
          <w:tcPr>
            <w:tcW w:w="1418" w:type="dxa"/>
            <w:vAlign w:val="center"/>
          </w:tcPr>
          <w:p w14:paraId="63C92511" w14:textId="77777777" w:rsidR="00661C64" w:rsidRDefault="00F955EB" w:rsidP="00661C64">
            <w:pPr>
              <w:jc w:val="center"/>
              <w:rPr>
                <w:rFonts w:cstheme="minorHAnsi"/>
                <w:bCs/>
                <w:iCs/>
              </w:rPr>
            </w:pPr>
            <w:r>
              <w:rPr>
                <w:rFonts w:cstheme="minorHAnsi"/>
                <w:bCs/>
                <w:iCs/>
              </w:rPr>
              <w:t>£900</w:t>
            </w:r>
          </w:p>
        </w:tc>
      </w:tr>
      <w:tr w:rsidR="00DA51BC" w14:paraId="63C92515" w14:textId="77777777" w:rsidTr="00661C64">
        <w:tc>
          <w:tcPr>
            <w:tcW w:w="7654" w:type="dxa"/>
            <w:gridSpan w:val="2"/>
            <w:vAlign w:val="center"/>
          </w:tcPr>
          <w:p w14:paraId="63C92513" w14:textId="77777777" w:rsidR="00661C64" w:rsidRDefault="00F955EB" w:rsidP="00661C64">
            <w:pPr>
              <w:jc w:val="right"/>
              <w:rPr>
                <w:rFonts w:cstheme="minorHAnsi"/>
                <w:bCs/>
                <w:iCs/>
              </w:rPr>
            </w:pPr>
            <w:r>
              <w:rPr>
                <w:rFonts w:cstheme="minorHAnsi"/>
                <w:bCs/>
                <w:iCs/>
              </w:rPr>
              <w:t>TOTAL</w:t>
            </w:r>
          </w:p>
        </w:tc>
        <w:tc>
          <w:tcPr>
            <w:tcW w:w="1418" w:type="dxa"/>
            <w:vAlign w:val="center"/>
          </w:tcPr>
          <w:p w14:paraId="63C92514" w14:textId="77777777" w:rsidR="00661C64" w:rsidRDefault="00F955EB" w:rsidP="00661C64">
            <w:pPr>
              <w:jc w:val="center"/>
              <w:rPr>
                <w:rFonts w:cstheme="minorHAnsi"/>
                <w:bCs/>
                <w:iCs/>
              </w:rPr>
            </w:pPr>
            <w:r>
              <w:rPr>
                <w:rFonts w:cstheme="minorHAnsi"/>
                <w:bCs/>
                <w:iCs/>
              </w:rPr>
              <w:t>£21,302</w:t>
            </w:r>
          </w:p>
        </w:tc>
      </w:tr>
    </w:tbl>
    <w:p w14:paraId="63C92516" w14:textId="77777777" w:rsidR="00661C64" w:rsidRPr="004E6097" w:rsidRDefault="00F955EB" w:rsidP="00661C64">
      <w:pPr>
        <w:spacing w:after="0" w:line="240" w:lineRule="auto"/>
        <w:ind w:left="720"/>
        <w:jc w:val="both"/>
        <w:rPr>
          <w:rFonts w:cstheme="minorHAnsi"/>
          <w:bCs/>
          <w:iCs/>
        </w:rPr>
      </w:pPr>
    </w:p>
    <w:p w14:paraId="63C92517"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 xml:space="preserve">Reasons for </w:t>
      </w:r>
      <w:r w:rsidRPr="00CA04F3">
        <w:rPr>
          <w:rFonts w:asciiTheme="majorHAnsi" w:hAnsiTheme="majorHAnsi" w:cstheme="majorHAnsi"/>
          <w:sz w:val="22"/>
        </w:rPr>
        <w:t>recommendations</w:t>
      </w:r>
    </w:p>
    <w:p w14:paraId="63C92518" w14:textId="77777777" w:rsidR="00D94F87" w:rsidRDefault="00F955EB" w:rsidP="007B00D7">
      <w:pPr>
        <w:numPr>
          <w:ilvl w:val="0"/>
          <w:numId w:val="8"/>
        </w:numPr>
        <w:spacing w:after="0" w:line="240" w:lineRule="auto"/>
        <w:rPr>
          <w:rFonts w:cstheme="minorHAnsi"/>
          <w:bCs/>
        </w:rPr>
      </w:pPr>
      <w:r>
        <w:rPr>
          <w:rFonts w:cstheme="minorHAnsi"/>
          <w:bCs/>
        </w:rPr>
        <w:t>Bids for the round one of the Boost Fund were received from four of the five Community Hubs.  Each bid was considered individually by the Leader and Cabinet Member for Communities, Social Justice and Wealth Building.</w:t>
      </w:r>
    </w:p>
    <w:p w14:paraId="63C92519" w14:textId="77777777" w:rsidR="007B00D7" w:rsidRDefault="00F955EB" w:rsidP="007B00D7">
      <w:pPr>
        <w:spacing w:after="0" w:line="240" w:lineRule="auto"/>
        <w:ind w:left="720"/>
        <w:rPr>
          <w:rFonts w:cstheme="minorHAnsi"/>
          <w:bCs/>
        </w:rPr>
      </w:pPr>
    </w:p>
    <w:p w14:paraId="63C9251A" w14:textId="77777777" w:rsidR="007E0227" w:rsidRDefault="00F955EB" w:rsidP="007E0227">
      <w:pPr>
        <w:numPr>
          <w:ilvl w:val="0"/>
          <w:numId w:val="8"/>
        </w:numPr>
        <w:spacing w:after="0" w:line="240" w:lineRule="auto"/>
        <w:rPr>
          <w:rFonts w:cstheme="minorHAnsi"/>
          <w:bCs/>
        </w:rPr>
      </w:pPr>
      <w:r>
        <w:rPr>
          <w:rFonts w:cstheme="minorHAnsi"/>
          <w:bCs/>
        </w:rPr>
        <w:t xml:space="preserve">All bids </w:t>
      </w:r>
      <w:r>
        <w:rPr>
          <w:rFonts w:cstheme="minorHAnsi"/>
          <w:bCs/>
        </w:rPr>
        <w:t xml:space="preserve">received were deemed to have merit and align with the spirit of the fund.  With the exception of Penwortham’s Mental Health Awareness project, hubs have been allocated 50% of the amount they requested.  </w:t>
      </w:r>
    </w:p>
    <w:p w14:paraId="63C9251B" w14:textId="77777777" w:rsidR="007E0227" w:rsidRDefault="00F955EB" w:rsidP="007E0227">
      <w:pPr>
        <w:spacing w:after="0" w:line="240" w:lineRule="auto"/>
        <w:ind w:left="720"/>
        <w:rPr>
          <w:rFonts w:cstheme="minorHAnsi"/>
          <w:bCs/>
        </w:rPr>
      </w:pPr>
    </w:p>
    <w:p w14:paraId="63C9251C" w14:textId="77777777" w:rsidR="007B00D7" w:rsidRPr="007E0227" w:rsidRDefault="00F955EB" w:rsidP="007E0227">
      <w:pPr>
        <w:numPr>
          <w:ilvl w:val="0"/>
          <w:numId w:val="8"/>
        </w:numPr>
        <w:spacing w:after="0" w:line="240" w:lineRule="auto"/>
        <w:rPr>
          <w:rFonts w:cstheme="minorHAnsi"/>
          <w:bCs/>
        </w:rPr>
      </w:pPr>
      <w:r w:rsidRPr="007E0227">
        <w:rPr>
          <w:rFonts w:cstheme="minorHAnsi"/>
          <w:bCs/>
        </w:rPr>
        <w:t>Overlap between the Penwortham Hub Mental Health bi</w:t>
      </w:r>
      <w:r w:rsidRPr="007E0227">
        <w:rPr>
          <w:rFonts w:cstheme="minorHAnsi"/>
          <w:bCs/>
        </w:rPr>
        <w:t xml:space="preserve">d and the corporate mental health project meant that funding for Community Mental Health First Aiders is already being provided.  </w:t>
      </w:r>
      <w:r>
        <w:rPr>
          <w:rFonts w:cstheme="minorHAnsi"/>
          <w:bCs/>
        </w:rPr>
        <w:t>Officers will work with Penwortham members to ensure relevant links are made locally.</w:t>
      </w:r>
    </w:p>
    <w:p w14:paraId="63C9251D" w14:textId="77777777" w:rsidR="00D94F87" w:rsidRDefault="00F955EB" w:rsidP="007B00D7">
      <w:pPr>
        <w:spacing w:after="0" w:line="240" w:lineRule="auto"/>
        <w:ind w:left="720"/>
        <w:rPr>
          <w:rFonts w:cstheme="minorHAnsi"/>
          <w:bCs/>
        </w:rPr>
      </w:pPr>
    </w:p>
    <w:p w14:paraId="63C9251E" w14:textId="77777777" w:rsidR="00D4431F" w:rsidRPr="00B7566B" w:rsidRDefault="00F955EB" w:rsidP="007B00D7">
      <w:pPr>
        <w:numPr>
          <w:ilvl w:val="0"/>
          <w:numId w:val="8"/>
        </w:numPr>
        <w:spacing w:after="0" w:line="240" w:lineRule="auto"/>
        <w:rPr>
          <w:rFonts w:cstheme="minorHAnsi"/>
          <w:bCs/>
        </w:rPr>
      </w:pPr>
      <w:r w:rsidRPr="00D94F87">
        <w:rPr>
          <w:rFonts w:cstheme="minorHAnsi"/>
          <w:bCs/>
          <w:iCs/>
        </w:rPr>
        <w:lastRenderedPageBreak/>
        <w:t xml:space="preserve">Each of the allocations </w:t>
      </w:r>
      <w:r>
        <w:rPr>
          <w:rFonts w:cstheme="minorHAnsi"/>
          <w:bCs/>
          <w:iCs/>
        </w:rPr>
        <w:t xml:space="preserve">set out in the </w:t>
      </w:r>
      <w:r>
        <w:rPr>
          <w:rFonts w:cstheme="minorHAnsi"/>
          <w:bCs/>
          <w:iCs/>
        </w:rPr>
        <w:t xml:space="preserve">table above </w:t>
      </w:r>
      <w:r w:rsidRPr="00D94F87">
        <w:rPr>
          <w:rFonts w:cstheme="minorHAnsi"/>
          <w:bCs/>
          <w:iCs/>
        </w:rPr>
        <w:t>carries a requirement for respective community hubs to match fund</w:t>
      </w:r>
      <w:r>
        <w:rPr>
          <w:rFonts w:cstheme="minorHAnsi"/>
          <w:bCs/>
          <w:iCs/>
        </w:rPr>
        <w:t xml:space="preserve"> 50%, to enable projects to be delivered in a timely manner</w:t>
      </w:r>
      <w:r w:rsidRPr="00D94F87">
        <w:rPr>
          <w:rFonts w:cstheme="minorHAnsi"/>
          <w:bCs/>
          <w:iCs/>
        </w:rPr>
        <w:t>.</w:t>
      </w:r>
    </w:p>
    <w:p w14:paraId="63C9251F" w14:textId="77777777" w:rsidR="00B7566B" w:rsidRDefault="00F955EB" w:rsidP="00B7566B">
      <w:pPr>
        <w:pStyle w:val="ListParagraph"/>
        <w:rPr>
          <w:rFonts w:cstheme="minorHAnsi"/>
          <w:bCs/>
        </w:rPr>
      </w:pPr>
    </w:p>
    <w:p w14:paraId="63C92520" w14:textId="77777777" w:rsidR="00B7566B" w:rsidRPr="00B7566B" w:rsidRDefault="00F955EB" w:rsidP="00B7566B">
      <w:pPr>
        <w:pStyle w:val="ListParagraph"/>
        <w:numPr>
          <w:ilvl w:val="0"/>
          <w:numId w:val="8"/>
        </w:numPr>
        <w:rPr>
          <w:rFonts w:cstheme="minorHAnsi"/>
          <w:bCs/>
        </w:rPr>
      </w:pPr>
      <w:r>
        <w:rPr>
          <w:rFonts w:cstheme="minorHAnsi"/>
          <w:bCs/>
        </w:rPr>
        <w:t>All u</w:t>
      </w:r>
      <w:r w:rsidRPr="00B7566B">
        <w:rPr>
          <w:rFonts w:cstheme="minorHAnsi"/>
          <w:bCs/>
        </w:rPr>
        <w:t>nderspend of the £25,000 budget from round one will be carried forward to round two</w:t>
      </w:r>
      <w:r>
        <w:rPr>
          <w:rFonts w:cstheme="minorHAnsi"/>
          <w:bCs/>
        </w:rPr>
        <w:t>.  The deadline for round two</w:t>
      </w:r>
      <w:r>
        <w:rPr>
          <w:rFonts w:cstheme="minorHAnsi"/>
          <w:bCs/>
        </w:rPr>
        <w:t xml:space="preserve"> bids is 31 October 2021; this has been added to the forward plans of hub planning meetings for advance discussion.</w:t>
      </w:r>
    </w:p>
    <w:p w14:paraId="63C92521" w14:textId="77777777" w:rsidR="00D4431F" w:rsidRPr="00CA04F3" w:rsidRDefault="00F955EB" w:rsidP="007B00D7">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63C92522" w14:textId="77777777" w:rsidR="00D4431F" w:rsidRPr="00CA04F3" w:rsidRDefault="00F955EB" w:rsidP="007B00D7">
      <w:pPr>
        <w:numPr>
          <w:ilvl w:val="0"/>
          <w:numId w:val="8"/>
        </w:numPr>
        <w:spacing w:after="0" w:line="240" w:lineRule="auto"/>
        <w:rPr>
          <w:rFonts w:cstheme="minorHAnsi"/>
          <w:bCs/>
          <w:i/>
        </w:rPr>
      </w:pPr>
      <w:r>
        <w:rPr>
          <w:rFonts w:cstheme="minorHAnsi"/>
          <w:bCs/>
          <w:iCs/>
        </w:rPr>
        <w:t>Bids to round one of the Boost Fund totalled £46,505, against a budget of £25,000.  Considera</w:t>
      </w:r>
      <w:r>
        <w:rPr>
          <w:rFonts w:cstheme="minorHAnsi"/>
          <w:bCs/>
          <w:iCs/>
        </w:rPr>
        <w:t xml:space="preserve">tion was given to fully funding fewer projects, but all bids met the required criteria.  Given that all hubs have carried forward underspends into 2021/22, it was agreed that match funding was a workable and fair approach to deliver priority projects.  </w:t>
      </w:r>
      <w:r w:rsidRPr="00D4431F">
        <w:rPr>
          <w:rFonts w:cstheme="minorHAnsi"/>
          <w:bCs/>
          <w:i/>
        </w:rPr>
        <w:t xml:space="preserve"> </w:t>
      </w:r>
    </w:p>
    <w:p w14:paraId="63C92523"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C</w:t>
      </w:r>
      <w:r w:rsidRPr="00CA04F3">
        <w:rPr>
          <w:rFonts w:asciiTheme="majorHAnsi" w:hAnsiTheme="majorHAnsi" w:cstheme="majorHAnsi"/>
          <w:sz w:val="22"/>
        </w:rPr>
        <w:t>orporate outcomes</w:t>
      </w:r>
    </w:p>
    <w:p w14:paraId="63C92524" w14:textId="77777777" w:rsidR="00D4431F" w:rsidRPr="006149F1" w:rsidRDefault="00F955EB" w:rsidP="007B00D7">
      <w:pPr>
        <w:numPr>
          <w:ilvl w:val="0"/>
          <w:numId w:val="8"/>
        </w:numPr>
        <w:spacing w:after="0" w:line="240" w:lineRule="auto"/>
        <w:rPr>
          <w:rFonts w:cstheme="minorHAnsi"/>
          <w:bCs/>
          <w:i/>
        </w:rPr>
      </w:pPr>
      <w:r w:rsidRPr="00D4431F">
        <w:rPr>
          <w:rFonts w:cstheme="minorHAnsi"/>
          <w:bCs/>
        </w:rPr>
        <w:t xml:space="preserve"> The report relates to the following corporate priorities:</w:t>
      </w:r>
    </w:p>
    <w:p w14:paraId="63C92525" w14:textId="77777777" w:rsidR="006149F1" w:rsidRPr="00D4431F" w:rsidRDefault="00F955EB" w:rsidP="006149F1">
      <w:pPr>
        <w:spacing w:after="0" w:line="240" w:lineRule="auto"/>
        <w:ind w:left="720"/>
        <w:jc w:val="both"/>
        <w:rPr>
          <w:rFonts w:cstheme="minorHAnsi"/>
          <w:bCs/>
          <w: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24"/>
        <w:gridCol w:w="4454"/>
        <w:gridCol w:w="425"/>
      </w:tblGrid>
      <w:tr w:rsidR="00DA51BC" w14:paraId="63C9252A" w14:textId="77777777" w:rsidTr="004E6097">
        <w:trPr>
          <w:trHeight w:val="520"/>
        </w:trPr>
        <w:tc>
          <w:tcPr>
            <w:tcW w:w="4620" w:type="dxa"/>
            <w:shd w:val="clear" w:color="auto" w:fill="auto"/>
            <w:vAlign w:val="center"/>
          </w:tcPr>
          <w:p w14:paraId="63C92526" w14:textId="77777777" w:rsidR="00D4431F" w:rsidRPr="00D4431F" w:rsidRDefault="00F955EB" w:rsidP="004E6097">
            <w:pPr>
              <w:spacing w:after="0" w:line="240" w:lineRule="auto"/>
              <w:rPr>
                <w:rFonts w:cstheme="minorHAnsi"/>
                <w:bCs/>
              </w:rPr>
            </w:pPr>
            <w:r w:rsidRPr="00D4431F">
              <w:rPr>
                <w:rFonts w:cstheme="minorHAnsi"/>
                <w:bCs/>
              </w:rPr>
              <w:t>An exemplary council</w:t>
            </w:r>
          </w:p>
        </w:tc>
        <w:tc>
          <w:tcPr>
            <w:tcW w:w="424" w:type="dxa"/>
            <w:shd w:val="clear" w:color="auto" w:fill="auto"/>
            <w:vAlign w:val="center"/>
          </w:tcPr>
          <w:p w14:paraId="63C92527" w14:textId="77777777" w:rsidR="00D4431F" w:rsidRPr="00D4431F" w:rsidRDefault="00F955EB" w:rsidP="004E6097">
            <w:pPr>
              <w:spacing w:after="0" w:line="240" w:lineRule="auto"/>
              <w:rPr>
                <w:rFonts w:cstheme="minorHAnsi"/>
                <w:bCs/>
              </w:rPr>
            </w:pPr>
            <w:r>
              <w:rPr>
                <w:rFonts w:ascii="Wingdings" w:hAnsi="Wingdings" w:cstheme="minorHAnsi"/>
                <w:bCs/>
              </w:rPr>
              <w:sym w:font="Wingdings" w:char="F0FC"/>
            </w:r>
          </w:p>
        </w:tc>
        <w:tc>
          <w:tcPr>
            <w:tcW w:w="4454" w:type="dxa"/>
            <w:vAlign w:val="center"/>
          </w:tcPr>
          <w:p w14:paraId="63C92528" w14:textId="77777777" w:rsidR="00D4431F" w:rsidRPr="00D4431F" w:rsidRDefault="00F955EB" w:rsidP="004E6097">
            <w:pPr>
              <w:spacing w:after="0" w:line="240" w:lineRule="auto"/>
              <w:rPr>
                <w:rFonts w:cstheme="minorHAnsi"/>
                <w:bCs/>
              </w:rPr>
            </w:pPr>
            <w:r w:rsidRPr="00D4431F">
              <w:rPr>
                <w:rFonts w:cstheme="minorHAnsi"/>
                <w:bCs/>
              </w:rPr>
              <w:t>Thriving communities</w:t>
            </w:r>
          </w:p>
        </w:tc>
        <w:tc>
          <w:tcPr>
            <w:tcW w:w="425" w:type="dxa"/>
            <w:vAlign w:val="center"/>
          </w:tcPr>
          <w:p w14:paraId="63C92529" w14:textId="77777777" w:rsidR="00D4431F" w:rsidRPr="00D4431F" w:rsidRDefault="00F955EB" w:rsidP="004E6097">
            <w:pPr>
              <w:spacing w:after="0" w:line="240" w:lineRule="auto"/>
              <w:rPr>
                <w:rFonts w:cstheme="minorHAnsi"/>
                <w:bCs/>
              </w:rPr>
            </w:pPr>
            <w:r>
              <w:rPr>
                <w:rFonts w:ascii="Wingdings" w:hAnsi="Wingdings" w:cstheme="minorHAnsi"/>
                <w:bCs/>
              </w:rPr>
              <w:sym w:font="Wingdings" w:char="F0FC"/>
            </w:r>
          </w:p>
        </w:tc>
      </w:tr>
      <w:tr w:rsidR="00DA51BC" w14:paraId="63C9252F" w14:textId="77777777" w:rsidTr="004E6097">
        <w:trPr>
          <w:trHeight w:val="570"/>
        </w:trPr>
        <w:tc>
          <w:tcPr>
            <w:tcW w:w="4620" w:type="dxa"/>
            <w:shd w:val="clear" w:color="auto" w:fill="auto"/>
            <w:vAlign w:val="center"/>
          </w:tcPr>
          <w:p w14:paraId="63C9252B" w14:textId="77777777" w:rsidR="00D4431F" w:rsidRPr="00D4431F" w:rsidRDefault="00F955EB" w:rsidP="004E6097">
            <w:pPr>
              <w:spacing w:after="0" w:line="240" w:lineRule="auto"/>
              <w:rPr>
                <w:rFonts w:cstheme="minorHAnsi"/>
                <w:bCs/>
              </w:rPr>
            </w:pPr>
            <w:r w:rsidRPr="00D4431F">
              <w:rPr>
                <w:rFonts w:cstheme="minorHAnsi"/>
                <w:bCs/>
              </w:rPr>
              <w:t>A fair local economy that works for everyone</w:t>
            </w:r>
          </w:p>
        </w:tc>
        <w:tc>
          <w:tcPr>
            <w:tcW w:w="424" w:type="dxa"/>
            <w:shd w:val="clear" w:color="auto" w:fill="auto"/>
            <w:vAlign w:val="center"/>
          </w:tcPr>
          <w:p w14:paraId="63C9252C" w14:textId="77777777" w:rsidR="00D4431F" w:rsidRPr="00D4431F" w:rsidRDefault="00F955EB" w:rsidP="004E6097">
            <w:pPr>
              <w:spacing w:after="0" w:line="240" w:lineRule="auto"/>
              <w:rPr>
                <w:rFonts w:cstheme="minorHAnsi"/>
                <w:bCs/>
              </w:rPr>
            </w:pPr>
          </w:p>
        </w:tc>
        <w:tc>
          <w:tcPr>
            <w:tcW w:w="4454" w:type="dxa"/>
            <w:vAlign w:val="center"/>
          </w:tcPr>
          <w:p w14:paraId="63C9252D" w14:textId="77777777" w:rsidR="00D4431F" w:rsidRPr="00D4431F" w:rsidRDefault="00F955EB" w:rsidP="004E6097">
            <w:pPr>
              <w:spacing w:after="0" w:line="240" w:lineRule="auto"/>
              <w:rPr>
                <w:rFonts w:cstheme="minorHAnsi"/>
                <w:bCs/>
              </w:rPr>
            </w:pPr>
            <w:r w:rsidRPr="00D4431F">
              <w:rPr>
                <w:rFonts w:cstheme="minorHAnsi"/>
                <w:bCs/>
              </w:rPr>
              <w:t>Good homes, green spaces, healthy places</w:t>
            </w:r>
          </w:p>
        </w:tc>
        <w:tc>
          <w:tcPr>
            <w:tcW w:w="425" w:type="dxa"/>
            <w:vAlign w:val="center"/>
          </w:tcPr>
          <w:p w14:paraId="63C9252E" w14:textId="77777777" w:rsidR="00D4431F" w:rsidRPr="00D4431F" w:rsidRDefault="00F955EB" w:rsidP="004E6097">
            <w:pPr>
              <w:spacing w:after="0" w:line="240" w:lineRule="auto"/>
              <w:rPr>
                <w:rFonts w:cstheme="minorHAnsi"/>
                <w:bCs/>
              </w:rPr>
            </w:pPr>
            <w:r>
              <w:rPr>
                <w:rFonts w:ascii="Wingdings" w:hAnsi="Wingdings" w:cstheme="minorHAnsi"/>
                <w:bCs/>
              </w:rPr>
              <w:sym w:font="Wingdings" w:char="F0FC"/>
            </w:r>
          </w:p>
        </w:tc>
      </w:tr>
    </w:tbl>
    <w:p w14:paraId="63C92530" w14:textId="77777777" w:rsidR="00D4431F" w:rsidRPr="00D4431F" w:rsidRDefault="00F955EB" w:rsidP="00D4431F">
      <w:pPr>
        <w:spacing w:line="240" w:lineRule="auto"/>
        <w:jc w:val="both"/>
        <w:rPr>
          <w:rFonts w:cstheme="minorHAnsi"/>
          <w:bCs/>
        </w:rPr>
      </w:pPr>
    </w:p>
    <w:p w14:paraId="63C92531"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63C92532" w14:textId="77777777" w:rsidR="00D94F87" w:rsidRPr="00D94F87" w:rsidRDefault="00F955EB" w:rsidP="007B00D7">
      <w:pPr>
        <w:numPr>
          <w:ilvl w:val="0"/>
          <w:numId w:val="8"/>
        </w:numPr>
        <w:spacing w:after="0" w:line="240" w:lineRule="auto"/>
        <w:rPr>
          <w:rFonts w:cstheme="minorHAnsi"/>
          <w:bCs/>
          <w:iCs/>
        </w:rPr>
      </w:pPr>
      <w:r w:rsidRPr="00D94F87">
        <w:rPr>
          <w:rFonts w:cstheme="minorHAnsi"/>
          <w:bCs/>
          <w:iCs/>
        </w:rPr>
        <w:t xml:space="preserve">Each of South Ribble Borough Council’s five Community Hubs has access to their own funding for community development projects.  In addition to this there is an annual £25,000 </w:t>
      </w:r>
      <w:r>
        <w:rPr>
          <w:rFonts w:cstheme="minorHAnsi"/>
          <w:bCs/>
          <w:iCs/>
        </w:rPr>
        <w:t>Boo</w:t>
      </w:r>
      <w:r w:rsidRPr="00D94F87">
        <w:rPr>
          <w:rFonts w:cstheme="minorHAnsi"/>
          <w:bCs/>
          <w:iCs/>
        </w:rPr>
        <w:t xml:space="preserve">st </w:t>
      </w:r>
      <w:r>
        <w:rPr>
          <w:rFonts w:cstheme="minorHAnsi"/>
          <w:bCs/>
          <w:iCs/>
        </w:rPr>
        <w:t>F</w:t>
      </w:r>
      <w:r w:rsidRPr="00D94F87">
        <w:rPr>
          <w:rFonts w:cstheme="minorHAnsi"/>
          <w:bCs/>
          <w:iCs/>
        </w:rPr>
        <w:t>und available for all Community Hubs to bid into.</w:t>
      </w:r>
    </w:p>
    <w:p w14:paraId="63C92533" w14:textId="77777777" w:rsidR="00D94F87" w:rsidRPr="00D94F87" w:rsidRDefault="00F955EB" w:rsidP="007B00D7">
      <w:pPr>
        <w:spacing w:after="0" w:line="240" w:lineRule="auto"/>
        <w:rPr>
          <w:rFonts w:cstheme="minorHAnsi"/>
          <w:bCs/>
          <w:iCs/>
        </w:rPr>
      </w:pPr>
    </w:p>
    <w:p w14:paraId="63C92534" w14:textId="77777777" w:rsidR="007B00D7" w:rsidRDefault="00F955EB" w:rsidP="007B00D7">
      <w:pPr>
        <w:numPr>
          <w:ilvl w:val="0"/>
          <w:numId w:val="8"/>
        </w:numPr>
        <w:spacing w:after="0" w:line="240" w:lineRule="auto"/>
        <w:rPr>
          <w:rFonts w:cstheme="minorHAnsi"/>
          <w:bCs/>
          <w:iCs/>
        </w:rPr>
      </w:pPr>
      <w:r w:rsidRPr="00D94F87">
        <w:rPr>
          <w:rFonts w:cstheme="minorHAnsi"/>
          <w:bCs/>
          <w:iCs/>
        </w:rPr>
        <w:t xml:space="preserve">The </w:t>
      </w:r>
      <w:r>
        <w:rPr>
          <w:rFonts w:cstheme="minorHAnsi"/>
          <w:bCs/>
          <w:iCs/>
        </w:rPr>
        <w:t>Boost F</w:t>
      </w:r>
      <w:r w:rsidRPr="00D94F87">
        <w:rPr>
          <w:rFonts w:cstheme="minorHAnsi"/>
          <w:bCs/>
          <w:iCs/>
        </w:rPr>
        <w:t>und is desig</w:t>
      </w:r>
      <w:r w:rsidRPr="00D94F87">
        <w:rPr>
          <w:rFonts w:cstheme="minorHAnsi"/>
          <w:bCs/>
          <w:iCs/>
        </w:rPr>
        <w:t>ned for projects which are going to have a positive long-lasting impact on the communities they are working with, and as such are required to meet certain criteria and priority points</w:t>
      </w:r>
      <w:r>
        <w:rPr>
          <w:rFonts w:cstheme="minorHAnsi"/>
          <w:bCs/>
          <w:iCs/>
        </w:rPr>
        <w:t>:</w:t>
      </w:r>
    </w:p>
    <w:p w14:paraId="63C92535" w14:textId="77777777" w:rsidR="007B00D7" w:rsidRDefault="00F955EB" w:rsidP="007B00D7">
      <w:pPr>
        <w:pStyle w:val="ListParagraph"/>
        <w:rPr>
          <w:rFonts w:cstheme="minorHAnsi"/>
          <w:bCs/>
          <w:iCs/>
        </w:rPr>
      </w:pPr>
    </w:p>
    <w:p w14:paraId="63C92536" w14:textId="77777777" w:rsidR="007B00D7" w:rsidRDefault="00F955EB" w:rsidP="00EB0C35">
      <w:pPr>
        <w:pStyle w:val="ListParagraph"/>
        <w:numPr>
          <w:ilvl w:val="0"/>
          <w:numId w:val="9"/>
        </w:numPr>
        <w:spacing w:after="0" w:line="240" w:lineRule="auto"/>
        <w:ind w:left="993" w:hanging="284"/>
        <w:rPr>
          <w:rFonts w:cstheme="minorHAnsi"/>
          <w:bCs/>
          <w:iCs/>
        </w:rPr>
      </w:pPr>
      <w:r w:rsidRPr="007B00D7">
        <w:rPr>
          <w:rFonts w:cstheme="minorHAnsi"/>
          <w:bCs/>
          <w:iCs/>
        </w:rPr>
        <w:t>The project must be contained within the action plan for the Community</w:t>
      </w:r>
      <w:r w:rsidRPr="007B00D7">
        <w:rPr>
          <w:rFonts w:cstheme="minorHAnsi"/>
          <w:bCs/>
          <w:iCs/>
        </w:rPr>
        <w:t xml:space="preserve"> Hub.</w:t>
      </w:r>
    </w:p>
    <w:p w14:paraId="63C92537" w14:textId="77777777" w:rsidR="007B00D7" w:rsidRPr="007B00D7" w:rsidRDefault="00F955EB" w:rsidP="00EB0C35">
      <w:pPr>
        <w:pStyle w:val="ListParagraph"/>
        <w:spacing w:after="0" w:line="240" w:lineRule="auto"/>
        <w:ind w:left="993" w:hanging="284"/>
        <w:rPr>
          <w:rFonts w:cstheme="minorHAnsi"/>
          <w:bCs/>
          <w:iCs/>
        </w:rPr>
      </w:pPr>
    </w:p>
    <w:p w14:paraId="63C92538" w14:textId="77777777" w:rsidR="007B00D7" w:rsidRDefault="00F955EB" w:rsidP="00EB0C35">
      <w:pPr>
        <w:pStyle w:val="ListParagraph"/>
        <w:numPr>
          <w:ilvl w:val="0"/>
          <w:numId w:val="9"/>
        </w:numPr>
        <w:spacing w:after="0" w:line="240" w:lineRule="auto"/>
        <w:ind w:left="993" w:hanging="284"/>
        <w:rPr>
          <w:rFonts w:cstheme="minorHAnsi"/>
          <w:bCs/>
          <w:iCs/>
        </w:rPr>
      </w:pPr>
      <w:r w:rsidRPr="007B00D7">
        <w:rPr>
          <w:rFonts w:cstheme="minorHAnsi"/>
          <w:bCs/>
          <w:iCs/>
        </w:rPr>
        <w:t>The project should be able to commence a maximum of six months after the funding has been issued and should demonstrate that positive impacts are going to be made in the first 12 months.</w:t>
      </w:r>
    </w:p>
    <w:p w14:paraId="63C92539" w14:textId="77777777" w:rsidR="007B00D7" w:rsidRPr="007B00D7" w:rsidRDefault="00F955EB" w:rsidP="00EB0C35">
      <w:pPr>
        <w:spacing w:after="0" w:line="240" w:lineRule="auto"/>
        <w:ind w:left="993" w:hanging="284"/>
        <w:rPr>
          <w:rFonts w:cstheme="minorHAnsi"/>
          <w:bCs/>
          <w:iCs/>
        </w:rPr>
      </w:pPr>
    </w:p>
    <w:p w14:paraId="63C9253A" w14:textId="77777777" w:rsidR="007B00D7" w:rsidRDefault="00F955EB" w:rsidP="00EB0C35">
      <w:pPr>
        <w:pStyle w:val="ListParagraph"/>
        <w:numPr>
          <w:ilvl w:val="0"/>
          <w:numId w:val="9"/>
        </w:numPr>
        <w:spacing w:after="0" w:line="240" w:lineRule="auto"/>
        <w:ind w:left="993" w:hanging="284"/>
        <w:rPr>
          <w:rFonts w:cstheme="minorHAnsi"/>
          <w:bCs/>
          <w:iCs/>
        </w:rPr>
      </w:pPr>
      <w:r w:rsidRPr="007B00D7">
        <w:rPr>
          <w:rFonts w:cstheme="minorHAnsi"/>
          <w:bCs/>
          <w:iCs/>
        </w:rPr>
        <w:t xml:space="preserve">The project should meet one of the corporate plan </w:t>
      </w:r>
      <w:r w:rsidRPr="007B00D7">
        <w:rPr>
          <w:rFonts w:cstheme="minorHAnsi"/>
          <w:bCs/>
          <w:iCs/>
        </w:rPr>
        <w:t>priorities, and the project should broadly cover all of the points.</w:t>
      </w:r>
    </w:p>
    <w:p w14:paraId="63C9253B" w14:textId="77777777" w:rsidR="007B00D7" w:rsidRPr="007B00D7" w:rsidRDefault="00F955EB" w:rsidP="00EB0C35">
      <w:pPr>
        <w:spacing w:after="0" w:line="240" w:lineRule="auto"/>
        <w:ind w:left="993" w:hanging="284"/>
        <w:rPr>
          <w:rFonts w:cstheme="minorHAnsi"/>
          <w:bCs/>
          <w:iCs/>
        </w:rPr>
      </w:pPr>
    </w:p>
    <w:p w14:paraId="63C9253C" w14:textId="77777777" w:rsidR="007B00D7" w:rsidRDefault="00F955EB" w:rsidP="00EB0C35">
      <w:pPr>
        <w:pStyle w:val="ListParagraph"/>
        <w:numPr>
          <w:ilvl w:val="0"/>
          <w:numId w:val="9"/>
        </w:numPr>
        <w:spacing w:after="0" w:line="240" w:lineRule="auto"/>
        <w:ind w:left="993" w:hanging="284"/>
        <w:rPr>
          <w:rFonts w:cstheme="minorHAnsi"/>
          <w:bCs/>
          <w:iCs/>
        </w:rPr>
      </w:pPr>
      <w:r w:rsidRPr="007B00D7">
        <w:rPr>
          <w:rFonts w:cstheme="minorHAnsi"/>
          <w:bCs/>
          <w:iCs/>
        </w:rPr>
        <w:t xml:space="preserve">The project should have social value, and this </w:t>
      </w:r>
      <w:r>
        <w:rPr>
          <w:rFonts w:cstheme="minorHAnsi"/>
          <w:bCs/>
          <w:iCs/>
        </w:rPr>
        <w:t xml:space="preserve">should </w:t>
      </w:r>
      <w:r w:rsidRPr="007B00D7">
        <w:rPr>
          <w:rFonts w:cstheme="minorHAnsi"/>
          <w:bCs/>
          <w:iCs/>
        </w:rPr>
        <w:t xml:space="preserve">be demonstrated in the application. </w:t>
      </w:r>
    </w:p>
    <w:p w14:paraId="63C9253D" w14:textId="77777777" w:rsidR="007B00D7" w:rsidRPr="007B00D7" w:rsidRDefault="00F955EB" w:rsidP="00EB0C35">
      <w:pPr>
        <w:spacing w:after="0" w:line="240" w:lineRule="auto"/>
        <w:ind w:left="993" w:hanging="284"/>
        <w:rPr>
          <w:rFonts w:cstheme="minorHAnsi"/>
          <w:bCs/>
          <w:iCs/>
        </w:rPr>
      </w:pPr>
    </w:p>
    <w:p w14:paraId="63C9253E" w14:textId="77777777" w:rsidR="007B00D7" w:rsidRDefault="00F955EB" w:rsidP="00EB0C35">
      <w:pPr>
        <w:pStyle w:val="ListParagraph"/>
        <w:numPr>
          <w:ilvl w:val="0"/>
          <w:numId w:val="9"/>
        </w:numPr>
        <w:spacing w:after="0" w:line="240" w:lineRule="auto"/>
        <w:ind w:left="993" w:hanging="284"/>
        <w:rPr>
          <w:rFonts w:cstheme="minorHAnsi"/>
          <w:bCs/>
          <w:i/>
        </w:rPr>
      </w:pPr>
      <w:r w:rsidRPr="007B00D7">
        <w:rPr>
          <w:rFonts w:cstheme="minorHAnsi"/>
          <w:bCs/>
          <w:iCs/>
        </w:rPr>
        <w:t>Ideally, projects should seek to reach further into the community and increase the engagement o</w:t>
      </w:r>
      <w:r w:rsidRPr="007B00D7">
        <w:rPr>
          <w:rFonts w:cstheme="minorHAnsi"/>
          <w:bCs/>
          <w:iCs/>
        </w:rPr>
        <w:t xml:space="preserve">f residents who don’t necessarily always engage. </w:t>
      </w:r>
      <w:r>
        <w:rPr>
          <w:rFonts w:cstheme="minorHAnsi"/>
          <w:bCs/>
          <w:iCs/>
        </w:rPr>
        <w:t xml:space="preserve"> </w:t>
      </w:r>
      <w:r w:rsidRPr="007B00D7">
        <w:rPr>
          <w:rFonts w:cstheme="minorHAnsi"/>
          <w:bCs/>
          <w:iCs/>
        </w:rPr>
        <w:t>Applications should clearly demonstrate what demographic of the community they are seeking to meet.</w:t>
      </w:r>
      <w:r w:rsidRPr="007B00D7">
        <w:rPr>
          <w:rFonts w:cstheme="minorHAnsi"/>
          <w:bCs/>
          <w:i/>
        </w:rPr>
        <w:tab/>
      </w:r>
    </w:p>
    <w:p w14:paraId="63C9253F" w14:textId="77777777" w:rsidR="007B00D7" w:rsidRDefault="00F955EB" w:rsidP="00EB0C35">
      <w:pPr>
        <w:spacing w:after="0" w:line="240" w:lineRule="auto"/>
        <w:ind w:left="993" w:hanging="284"/>
        <w:rPr>
          <w:rFonts w:cstheme="minorHAnsi"/>
          <w:bCs/>
          <w:iCs/>
        </w:rPr>
      </w:pPr>
    </w:p>
    <w:p w14:paraId="63C92540" w14:textId="77777777" w:rsidR="007B00D7" w:rsidRDefault="00F955EB" w:rsidP="007B00D7">
      <w:pPr>
        <w:numPr>
          <w:ilvl w:val="0"/>
          <w:numId w:val="8"/>
        </w:numPr>
        <w:spacing w:after="0" w:line="240" w:lineRule="auto"/>
        <w:rPr>
          <w:rFonts w:cstheme="minorHAnsi"/>
          <w:bCs/>
          <w:iCs/>
        </w:rPr>
      </w:pPr>
      <w:r>
        <w:rPr>
          <w:rFonts w:cstheme="minorHAnsi"/>
          <w:bCs/>
          <w:iCs/>
        </w:rPr>
        <w:lastRenderedPageBreak/>
        <w:t>Round one of the Boost Fund was launched in March 2021.  The application form is attached at Appendix A;</w:t>
      </w:r>
      <w:r>
        <w:rPr>
          <w:rFonts w:cstheme="minorHAnsi"/>
          <w:bCs/>
          <w:iCs/>
        </w:rPr>
        <w:t xml:space="preserve"> each bid must have the support and sign off from the Hub Chair in order to be considered. </w:t>
      </w:r>
    </w:p>
    <w:p w14:paraId="63C92541" w14:textId="77777777" w:rsidR="00D4431F" w:rsidRPr="00CA04F3" w:rsidRDefault="00F955EB" w:rsidP="007B00D7">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63C92542" w14:textId="77777777" w:rsidR="006149F1" w:rsidRDefault="00F955EB" w:rsidP="007B00D7">
      <w:pPr>
        <w:numPr>
          <w:ilvl w:val="0"/>
          <w:numId w:val="8"/>
        </w:numPr>
        <w:spacing w:after="0" w:line="240" w:lineRule="auto"/>
        <w:rPr>
          <w:rFonts w:cstheme="minorHAnsi"/>
          <w:bCs/>
          <w:iCs/>
        </w:rPr>
      </w:pPr>
      <w:r w:rsidRPr="009C42CF">
        <w:rPr>
          <w:rFonts w:cstheme="minorHAnsi"/>
          <w:bCs/>
          <w:iCs/>
        </w:rPr>
        <w:t>The range of projects being supported by the Boost Fund varies significantly, in terms of scale, value and numbers of stakeholders.  Some projects are ‘intern</w:t>
      </w:r>
      <w:r w:rsidRPr="009C42CF">
        <w:rPr>
          <w:rFonts w:cstheme="minorHAnsi"/>
          <w:bCs/>
          <w:iCs/>
        </w:rPr>
        <w:t xml:space="preserve">al’ to SRBC, others are partnerships </w:t>
      </w:r>
      <w:r>
        <w:rPr>
          <w:rFonts w:cstheme="minorHAnsi"/>
          <w:bCs/>
          <w:iCs/>
        </w:rPr>
        <w:t xml:space="preserve">or have interdependencies with external agencies.  Officers will work closely with Hub Chairs to ensure that project risks are identified, managed and clearly communicated. </w:t>
      </w:r>
    </w:p>
    <w:p w14:paraId="63C92543" w14:textId="77777777" w:rsidR="009C42CF" w:rsidRDefault="00F955EB" w:rsidP="009C42CF">
      <w:pPr>
        <w:spacing w:after="0" w:line="240" w:lineRule="auto"/>
        <w:ind w:left="720"/>
        <w:rPr>
          <w:rFonts w:cstheme="minorHAnsi"/>
          <w:bCs/>
          <w:iCs/>
        </w:rPr>
      </w:pPr>
    </w:p>
    <w:p w14:paraId="63C92544" w14:textId="77777777" w:rsidR="009C42CF" w:rsidRPr="009C42CF" w:rsidRDefault="00F955EB" w:rsidP="007B00D7">
      <w:pPr>
        <w:numPr>
          <w:ilvl w:val="0"/>
          <w:numId w:val="8"/>
        </w:numPr>
        <w:spacing w:after="0" w:line="240" w:lineRule="auto"/>
        <w:rPr>
          <w:rFonts w:cstheme="minorHAnsi"/>
          <w:bCs/>
          <w:iCs/>
        </w:rPr>
      </w:pPr>
      <w:r>
        <w:rPr>
          <w:rFonts w:cstheme="minorHAnsi"/>
          <w:bCs/>
          <w:iCs/>
        </w:rPr>
        <w:t>If there is a risk to project delivery, e.g.</w:t>
      </w:r>
      <w:r>
        <w:rPr>
          <w:rFonts w:cstheme="minorHAnsi"/>
          <w:bCs/>
          <w:iCs/>
        </w:rPr>
        <w:t xml:space="preserve"> timescale slippage is unavoidable, project summary documents will be updated and circulated at hub planning meetings. </w:t>
      </w:r>
    </w:p>
    <w:p w14:paraId="63C92545"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63C92546" w14:textId="77777777" w:rsidR="004E6097" w:rsidRPr="004E6097" w:rsidRDefault="00F955EB" w:rsidP="004E6097">
      <w:pPr>
        <w:numPr>
          <w:ilvl w:val="0"/>
          <w:numId w:val="8"/>
        </w:numPr>
        <w:spacing w:after="0" w:line="240" w:lineRule="auto"/>
        <w:jc w:val="both"/>
        <w:rPr>
          <w:rFonts w:cstheme="minorHAnsi"/>
          <w:bCs/>
          <w:iCs/>
        </w:rPr>
      </w:pPr>
      <w:r w:rsidRPr="004E6097">
        <w:rPr>
          <w:rFonts w:cstheme="minorHAnsi"/>
          <w:bCs/>
          <w:iCs/>
        </w:rPr>
        <w:t>Projects contained within the action plans are designed to be inclusive, accessible and bring communities togethe</w:t>
      </w:r>
      <w:r w:rsidRPr="004E6097">
        <w:rPr>
          <w:rFonts w:cstheme="minorHAnsi"/>
          <w:bCs/>
          <w:iCs/>
        </w:rPr>
        <w:t>r.</w:t>
      </w:r>
    </w:p>
    <w:p w14:paraId="63C92547" w14:textId="77777777" w:rsidR="004E6097" w:rsidRPr="004E6097" w:rsidRDefault="00F955EB" w:rsidP="004E6097">
      <w:pPr>
        <w:spacing w:after="0" w:line="240" w:lineRule="auto"/>
        <w:ind w:left="720"/>
        <w:jc w:val="both"/>
        <w:rPr>
          <w:rFonts w:cstheme="minorHAnsi"/>
          <w:bCs/>
          <w:iCs/>
        </w:rPr>
      </w:pPr>
    </w:p>
    <w:p w14:paraId="63C92548" w14:textId="77777777" w:rsidR="004E6097" w:rsidRDefault="00F955EB" w:rsidP="004E6097">
      <w:pPr>
        <w:numPr>
          <w:ilvl w:val="0"/>
          <w:numId w:val="8"/>
        </w:numPr>
        <w:spacing w:after="0" w:line="240" w:lineRule="auto"/>
        <w:jc w:val="both"/>
        <w:rPr>
          <w:rFonts w:cstheme="minorHAnsi"/>
          <w:bCs/>
          <w:iCs/>
        </w:rPr>
      </w:pPr>
      <w:r w:rsidRPr="004E6097">
        <w:rPr>
          <w:rFonts w:cstheme="minorHAnsi"/>
          <w:bCs/>
          <w:iCs/>
        </w:rPr>
        <w:t xml:space="preserve">An Equality Impact Assessment has been carried out for each of the plans; there are no potential negative impacts on any of the protected groups.  There are specific positive impacts on age and disability, through projects </w:t>
      </w:r>
      <w:r>
        <w:rPr>
          <w:rFonts w:cstheme="minorHAnsi"/>
          <w:bCs/>
          <w:iCs/>
        </w:rPr>
        <w:t>which will help to re</w:t>
      </w:r>
      <w:r w:rsidRPr="004E6097">
        <w:rPr>
          <w:rFonts w:cstheme="minorHAnsi"/>
          <w:bCs/>
          <w:iCs/>
        </w:rPr>
        <w:t>duc</w:t>
      </w:r>
      <w:r>
        <w:rPr>
          <w:rFonts w:cstheme="minorHAnsi"/>
          <w:bCs/>
          <w:iCs/>
        </w:rPr>
        <w:t>e</w:t>
      </w:r>
      <w:r w:rsidRPr="004E6097">
        <w:rPr>
          <w:rFonts w:cstheme="minorHAnsi"/>
          <w:bCs/>
          <w:iCs/>
        </w:rPr>
        <w:t xml:space="preserve"> social </w:t>
      </w:r>
      <w:r w:rsidRPr="004E6097">
        <w:rPr>
          <w:rFonts w:cstheme="minorHAnsi"/>
          <w:bCs/>
          <w:iCs/>
        </w:rPr>
        <w:t xml:space="preserve">isolation and </w:t>
      </w:r>
      <w:r>
        <w:rPr>
          <w:rFonts w:cstheme="minorHAnsi"/>
          <w:bCs/>
          <w:iCs/>
        </w:rPr>
        <w:t>offer inclusive opportunities for physical activity</w:t>
      </w:r>
      <w:r w:rsidRPr="004E6097">
        <w:rPr>
          <w:rFonts w:cstheme="minorHAnsi"/>
          <w:bCs/>
          <w:iCs/>
        </w:rPr>
        <w:t>.</w:t>
      </w:r>
    </w:p>
    <w:p w14:paraId="63C92549"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63C9254A" w14:textId="56D73A82" w:rsidR="006149F1" w:rsidRPr="004E6097" w:rsidRDefault="00F955EB" w:rsidP="00CA04F3">
      <w:pPr>
        <w:numPr>
          <w:ilvl w:val="0"/>
          <w:numId w:val="8"/>
        </w:numPr>
        <w:spacing w:after="0" w:line="240" w:lineRule="auto"/>
        <w:jc w:val="both"/>
        <w:rPr>
          <w:rFonts w:cstheme="minorHAnsi"/>
          <w:bCs/>
          <w:color w:val="FF0000"/>
        </w:rPr>
      </w:pPr>
      <w:r>
        <w:rPr>
          <w:rFonts w:cstheme="minorHAnsi"/>
          <w:bCs/>
        </w:rPr>
        <w:t>It is good to see that Air Quality implications have been discussed of each project and the Farington Lodges projec</w:t>
      </w:r>
      <w:r>
        <w:rPr>
          <w:rFonts w:cstheme="minorHAnsi"/>
          <w:bCs/>
        </w:rPr>
        <w:t>t supports bio-diversity and encourages our community to enjoy the environment we have to offer in South Ribble.</w:t>
      </w:r>
    </w:p>
    <w:p w14:paraId="63C9254B"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w:t>
      </w:r>
      <w:r w:rsidRPr="00CA04F3">
        <w:rPr>
          <w:rFonts w:asciiTheme="majorHAnsi" w:hAnsiTheme="majorHAnsi" w:cstheme="majorHAnsi"/>
          <w:sz w:val="22"/>
        </w:rPr>
        <w:t>cer</w:t>
      </w:r>
    </w:p>
    <w:p w14:paraId="63C9254C" w14:textId="19EC68B7" w:rsidR="006149F1" w:rsidRPr="00F955EB" w:rsidRDefault="00F955EB" w:rsidP="00F955EB">
      <w:pPr>
        <w:numPr>
          <w:ilvl w:val="0"/>
          <w:numId w:val="10"/>
        </w:numPr>
        <w:spacing w:after="0" w:line="240" w:lineRule="auto"/>
        <w:jc w:val="both"/>
        <w:rPr>
          <w:rFonts w:cstheme="minorHAnsi"/>
          <w:bCs/>
          <w:iCs/>
        </w:rPr>
      </w:pPr>
      <w:r w:rsidRPr="00F955EB">
        <w:rPr>
          <w:rFonts w:cstheme="minorHAnsi"/>
          <w:bCs/>
          <w:iCs/>
        </w:rPr>
        <w:t>The £25k referred to in this report is f</w:t>
      </w:r>
      <w:r w:rsidRPr="00F955EB">
        <w:rPr>
          <w:rFonts w:cstheme="minorHAnsi"/>
          <w:bCs/>
          <w:iCs/>
        </w:rPr>
        <w:t xml:space="preserve">rom the 20/21 budget allocation and will be carried forward to allow this spend to be funded.  There </w:t>
      </w:r>
      <w:r w:rsidRPr="00F955EB">
        <w:rPr>
          <w:rFonts w:cstheme="minorHAnsi"/>
          <w:bCs/>
          <w:iCs/>
        </w:rPr>
        <w:t>is a further £25k available in the 21/22 budget.</w:t>
      </w:r>
    </w:p>
    <w:p w14:paraId="63C9254D" w14:textId="77777777" w:rsidR="00D4431F" w:rsidRPr="00CA04F3" w:rsidRDefault="00F955EB"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63C9254E" w14:textId="37DB9B82" w:rsidR="00D4431F" w:rsidRPr="00F955EB" w:rsidRDefault="00F955EB" w:rsidP="00D4431F">
      <w:pPr>
        <w:numPr>
          <w:ilvl w:val="0"/>
          <w:numId w:val="8"/>
        </w:numPr>
        <w:spacing w:after="0" w:line="240" w:lineRule="auto"/>
        <w:jc w:val="both"/>
        <w:rPr>
          <w:rFonts w:cstheme="minorHAnsi"/>
          <w:bCs/>
        </w:rPr>
      </w:pPr>
      <w:r w:rsidRPr="00F955EB">
        <w:rPr>
          <w:rFonts w:cstheme="minorHAnsi"/>
          <w:bCs/>
        </w:rPr>
        <w:t>There are no concerns with what is proposed here from a Monitori</w:t>
      </w:r>
      <w:r w:rsidRPr="00F955EB">
        <w:rPr>
          <w:rFonts w:cstheme="minorHAnsi"/>
          <w:bCs/>
        </w:rPr>
        <w:t>ng Offi</w:t>
      </w:r>
      <w:r w:rsidRPr="00F955EB">
        <w:rPr>
          <w:rFonts w:cstheme="minorHAnsi"/>
          <w:bCs/>
        </w:rPr>
        <w:t>cer perspective.</w:t>
      </w:r>
    </w:p>
    <w:p w14:paraId="63C9254F" w14:textId="77777777" w:rsidR="006149F1" w:rsidRDefault="00F955EB" w:rsidP="006149F1">
      <w:pPr>
        <w:spacing w:after="0" w:line="240" w:lineRule="auto"/>
        <w:ind w:left="720"/>
        <w:jc w:val="both"/>
        <w:rPr>
          <w:rFonts w:cstheme="minorHAnsi"/>
          <w:bCs/>
        </w:rPr>
      </w:pPr>
    </w:p>
    <w:p w14:paraId="63C92550" w14:textId="77777777" w:rsidR="00DC4EF8" w:rsidRDefault="00F955EB" w:rsidP="00DC4EF8">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170E48">
        <w:rPr>
          <w:rFonts w:asciiTheme="majorHAnsi" w:eastAsia="Times New Roman" w:hAnsiTheme="majorHAnsi" w:cstheme="majorHAnsi"/>
          <w:b/>
          <w:bCs/>
          <w:szCs w:val="36"/>
          <w:lang w:eastAsia="en-GB"/>
        </w:rPr>
        <w:t>Appendic</w:t>
      </w:r>
      <w:bookmarkStart w:id="0" w:name="_GoBack"/>
      <w:bookmarkEnd w:id="0"/>
      <w:r w:rsidRPr="00170E48">
        <w:rPr>
          <w:rFonts w:asciiTheme="majorHAnsi" w:eastAsia="Times New Roman" w:hAnsiTheme="majorHAnsi" w:cstheme="majorHAnsi"/>
          <w:b/>
          <w:bCs/>
          <w:szCs w:val="36"/>
          <w:lang w:eastAsia="en-GB"/>
        </w:rPr>
        <w:t>es</w:t>
      </w:r>
    </w:p>
    <w:p w14:paraId="63C92551" w14:textId="77777777" w:rsidR="00DC4EF8" w:rsidRPr="00DC4EF8" w:rsidRDefault="00F955EB" w:rsidP="00DC4EF8">
      <w:pPr>
        <w:spacing w:before="100" w:beforeAutospacing="1" w:after="100" w:afterAutospacing="1" w:line="240" w:lineRule="auto"/>
        <w:ind w:firstLine="426"/>
        <w:outlineLvl w:val="1"/>
        <w:rPr>
          <w:rFonts w:asciiTheme="majorHAnsi" w:eastAsia="Times New Roman" w:hAnsiTheme="majorHAnsi" w:cstheme="majorHAnsi"/>
          <w:szCs w:val="36"/>
          <w:lang w:eastAsia="en-GB"/>
        </w:rPr>
      </w:pPr>
      <w:r w:rsidRPr="00DC4EF8">
        <w:rPr>
          <w:rFonts w:asciiTheme="majorHAnsi" w:eastAsia="Times New Roman" w:hAnsiTheme="majorHAnsi" w:cstheme="majorHAnsi"/>
          <w:szCs w:val="36"/>
          <w:lang w:eastAsia="en-GB"/>
        </w:rPr>
        <w:t xml:space="preserve">Appendix A – Boost Fund Application Form </w:t>
      </w:r>
    </w:p>
    <w:p w14:paraId="63C92552" w14:textId="77777777" w:rsidR="00DC4EF8" w:rsidRDefault="00F955EB" w:rsidP="00D4431F">
      <w:pPr>
        <w:spacing w:line="240" w:lineRule="auto"/>
        <w:jc w:val="both"/>
        <w:rPr>
          <w:rFonts w:asciiTheme="majorHAnsi" w:hAnsiTheme="majorHAnsi" w:cstheme="majorHAnsi"/>
          <w:bCs/>
          <w:sz w:val="14"/>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63C92553" w14:textId="77777777" w:rsidR="00D4431F" w:rsidRDefault="00F955EB" w:rsidP="00D4431F">
      <w:pPr>
        <w:spacing w:line="240" w:lineRule="auto"/>
        <w:jc w:val="both"/>
        <w:rPr>
          <w:rFonts w:asciiTheme="majorHAnsi" w:hAnsiTheme="majorHAnsi" w:cstheme="majorHAnsi"/>
          <w:bCs/>
        </w:rPr>
      </w:pPr>
      <w:r>
        <w:rPr>
          <w:rFonts w:asciiTheme="majorHAnsi" w:hAnsiTheme="majorHAnsi" w:cstheme="majorHAnsi"/>
          <w:bCs/>
        </w:rPr>
        <w:t>T</w:t>
      </w:r>
      <w:r w:rsidRPr="00D4431F">
        <w:rPr>
          <w:rFonts w:asciiTheme="majorHAnsi" w:hAnsiTheme="majorHAnsi" w:cstheme="majorHAnsi"/>
          <w:bCs/>
        </w:rPr>
        <w:t>here are no background papers to this report</w:t>
      </w:r>
      <w:r>
        <w:rPr>
          <w:rFonts w:asciiTheme="majorHAnsi" w:hAnsiTheme="majorHAnsi" w:cstheme="majorHAnsi"/>
          <w:bCs/>
        </w:rPr>
        <w:t>.</w:t>
      </w:r>
    </w:p>
    <w:p w14:paraId="63C92554" w14:textId="77777777" w:rsidR="00CA04F3" w:rsidRPr="00D4431F" w:rsidRDefault="00F955EB" w:rsidP="00CA04F3">
      <w:pPr>
        <w:spacing w:after="0" w:line="240" w:lineRule="auto"/>
        <w:jc w:val="both"/>
        <w:rPr>
          <w:rFonts w:cstheme="minorHAnsi"/>
          <w:bCs/>
          <w:i/>
        </w:rPr>
      </w:pPr>
    </w:p>
    <w:p w14:paraId="63C92555" w14:textId="77777777" w:rsidR="00D4431F" w:rsidRDefault="00F955EB" w:rsidP="006149F1">
      <w:pPr>
        <w:spacing w:after="0" w:line="240" w:lineRule="auto"/>
        <w:jc w:val="both"/>
        <w:rPr>
          <w:rFonts w:cstheme="minorHAnsi"/>
          <w:bCs/>
        </w:rPr>
      </w:pPr>
      <w:r>
        <w:rPr>
          <w:rFonts w:cstheme="minorHAnsi"/>
          <w:bCs/>
        </w:rPr>
        <w:t>Jennifer Mullin</w:t>
      </w:r>
    </w:p>
    <w:p w14:paraId="63C92556" w14:textId="77777777" w:rsidR="00D4431F" w:rsidRPr="00D4431F" w:rsidRDefault="00F955EB" w:rsidP="006149F1">
      <w:pPr>
        <w:spacing w:after="0" w:line="240" w:lineRule="auto"/>
        <w:jc w:val="both"/>
        <w:rPr>
          <w:rFonts w:cstheme="minorHAnsi"/>
          <w:bCs/>
        </w:rPr>
      </w:pPr>
      <w:r>
        <w:rPr>
          <w:rFonts w:cstheme="minorHAnsi"/>
          <w:bCs/>
        </w:rPr>
        <w:t>Director of Communities</w:t>
      </w:r>
      <w:r w:rsidRPr="00D4431F">
        <w:rPr>
          <w:rFonts w:cstheme="minorHAnsi"/>
          <w:bCs/>
        </w:rPr>
        <w:t xml:space="preserve"> </w:t>
      </w:r>
    </w:p>
    <w:p w14:paraId="63C92557" w14:textId="77777777" w:rsidR="00D4431F" w:rsidRPr="00D4431F" w:rsidRDefault="00F955EB"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27"/>
        <w:gridCol w:w="2111"/>
        <w:gridCol w:w="1098"/>
      </w:tblGrid>
      <w:tr w:rsidR="00DA51BC" w14:paraId="63C9255C" w14:textId="77777777" w:rsidTr="00DC4EF8">
        <w:tc>
          <w:tcPr>
            <w:tcW w:w="1872" w:type="dxa"/>
            <w:shd w:val="clear" w:color="auto" w:fill="auto"/>
          </w:tcPr>
          <w:p w14:paraId="63C92558" w14:textId="77777777" w:rsidR="00D4431F" w:rsidRPr="00D4431F" w:rsidRDefault="00F955EB" w:rsidP="00D4431F">
            <w:pPr>
              <w:spacing w:line="240" w:lineRule="auto"/>
              <w:jc w:val="both"/>
              <w:rPr>
                <w:rFonts w:cstheme="minorHAnsi"/>
                <w:bCs/>
              </w:rPr>
            </w:pPr>
            <w:r w:rsidRPr="00D4431F">
              <w:rPr>
                <w:rFonts w:cstheme="minorHAnsi"/>
                <w:bCs/>
              </w:rPr>
              <w:t>Report Author:</w:t>
            </w:r>
          </w:p>
        </w:tc>
        <w:tc>
          <w:tcPr>
            <w:tcW w:w="3827" w:type="dxa"/>
          </w:tcPr>
          <w:p w14:paraId="63C92559" w14:textId="77777777" w:rsidR="00D4431F" w:rsidRPr="00D4431F" w:rsidRDefault="00F955EB" w:rsidP="00D4431F">
            <w:pPr>
              <w:spacing w:line="240" w:lineRule="auto"/>
              <w:jc w:val="both"/>
              <w:rPr>
                <w:rFonts w:cstheme="minorHAnsi"/>
                <w:bCs/>
              </w:rPr>
            </w:pPr>
            <w:r w:rsidRPr="00D4431F">
              <w:rPr>
                <w:rFonts w:cstheme="minorHAnsi"/>
                <w:bCs/>
              </w:rPr>
              <w:t>Email:</w:t>
            </w:r>
          </w:p>
        </w:tc>
        <w:tc>
          <w:tcPr>
            <w:tcW w:w="2111" w:type="dxa"/>
            <w:shd w:val="clear" w:color="auto" w:fill="auto"/>
          </w:tcPr>
          <w:p w14:paraId="63C9255A" w14:textId="77777777" w:rsidR="00D4431F" w:rsidRPr="00D4431F" w:rsidRDefault="00F955EB" w:rsidP="00D4431F">
            <w:pPr>
              <w:spacing w:line="240" w:lineRule="auto"/>
              <w:jc w:val="both"/>
              <w:rPr>
                <w:rFonts w:cstheme="minorHAnsi"/>
                <w:bCs/>
              </w:rPr>
            </w:pPr>
            <w:r w:rsidRPr="00D4431F">
              <w:rPr>
                <w:rFonts w:cstheme="minorHAnsi"/>
                <w:bCs/>
              </w:rPr>
              <w:t>Telephone:</w:t>
            </w:r>
          </w:p>
        </w:tc>
        <w:tc>
          <w:tcPr>
            <w:tcW w:w="1098" w:type="dxa"/>
            <w:shd w:val="clear" w:color="auto" w:fill="auto"/>
          </w:tcPr>
          <w:p w14:paraId="63C9255B" w14:textId="77777777" w:rsidR="00D4431F" w:rsidRPr="00D4431F" w:rsidRDefault="00F955EB" w:rsidP="00D4431F">
            <w:pPr>
              <w:spacing w:line="240" w:lineRule="auto"/>
              <w:jc w:val="both"/>
              <w:rPr>
                <w:rFonts w:cstheme="minorHAnsi"/>
                <w:bCs/>
              </w:rPr>
            </w:pPr>
            <w:r w:rsidRPr="00D4431F">
              <w:rPr>
                <w:rFonts w:cstheme="minorHAnsi"/>
                <w:bCs/>
              </w:rPr>
              <w:t>Date:</w:t>
            </w:r>
          </w:p>
        </w:tc>
      </w:tr>
      <w:tr w:rsidR="00DA51BC" w14:paraId="63C92561" w14:textId="77777777" w:rsidTr="00DC4EF8">
        <w:tc>
          <w:tcPr>
            <w:tcW w:w="1872" w:type="dxa"/>
            <w:shd w:val="clear" w:color="auto" w:fill="auto"/>
          </w:tcPr>
          <w:p w14:paraId="63C9255D" w14:textId="77777777" w:rsidR="00D4431F" w:rsidRPr="00D4431F" w:rsidRDefault="00F955E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Rebecca Heap</w:t>
            </w:r>
            <w:r>
              <w:rPr>
                <w:rFonts w:cstheme="minorHAnsi"/>
                <w:bCs/>
              </w:rPr>
              <w:fldChar w:fldCharType="end"/>
            </w:r>
            <w:r>
              <w:rPr>
                <w:rFonts w:cstheme="minorHAnsi"/>
                <w:bCs/>
              </w:rPr>
              <w:t xml:space="preserve"> </w:t>
            </w:r>
          </w:p>
        </w:tc>
        <w:tc>
          <w:tcPr>
            <w:tcW w:w="3827" w:type="dxa"/>
          </w:tcPr>
          <w:p w14:paraId="63C9255E" w14:textId="77777777" w:rsidR="00D4431F" w:rsidRPr="00D4431F" w:rsidRDefault="00F955E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rebecca.heap@southribble.gov.uk</w:t>
            </w:r>
            <w:r>
              <w:rPr>
                <w:rFonts w:cstheme="minorHAnsi"/>
                <w:bCs/>
              </w:rPr>
              <w:fldChar w:fldCharType="end"/>
            </w:r>
          </w:p>
        </w:tc>
        <w:tc>
          <w:tcPr>
            <w:tcW w:w="2111" w:type="dxa"/>
            <w:shd w:val="clear" w:color="auto" w:fill="auto"/>
          </w:tcPr>
          <w:p w14:paraId="63C9255F" w14:textId="77777777" w:rsidR="00D4431F" w:rsidRPr="00D4431F" w:rsidRDefault="00F955EB" w:rsidP="00D4431F">
            <w:pPr>
              <w:spacing w:line="240" w:lineRule="auto"/>
              <w:jc w:val="both"/>
              <w:rPr>
                <w:rFonts w:cstheme="minorHAnsi"/>
                <w:bCs/>
              </w:rPr>
            </w:pPr>
            <w:r w:rsidRPr="00D4431F">
              <w:rPr>
                <w:rFonts w:cstheme="minorHAnsi"/>
                <w:bCs/>
              </w:rPr>
              <w:t>01772 62</w:t>
            </w:r>
            <w:r>
              <w:rPr>
                <w:rFonts w:cstheme="minorHAnsi"/>
                <w:bCs/>
              </w:rPr>
              <w:t>5276</w:t>
            </w:r>
          </w:p>
        </w:tc>
        <w:tc>
          <w:tcPr>
            <w:tcW w:w="1098" w:type="dxa"/>
            <w:shd w:val="clear" w:color="auto" w:fill="auto"/>
          </w:tcPr>
          <w:p w14:paraId="63C92560" w14:textId="77777777" w:rsidR="00D4431F" w:rsidRPr="00D4431F" w:rsidRDefault="00F955EB" w:rsidP="00D4431F">
            <w:pPr>
              <w:spacing w:line="240" w:lineRule="auto"/>
              <w:jc w:val="both"/>
              <w:rPr>
                <w:rFonts w:cstheme="minorHAnsi"/>
                <w:bCs/>
              </w:rPr>
            </w:pPr>
            <w:r>
              <w:rPr>
                <w:rFonts w:cstheme="minorHAnsi"/>
                <w:bCs/>
              </w:rPr>
              <w:t>7/5/21</w:t>
            </w:r>
          </w:p>
        </w:tc>
      </w:tr>
    </w:tbl>
    <w:p w14:paraId="63C92562" w14:textId="77777777" w:rsidR="0025620C" w:rsidRPr="005C459D" w:rsidRDefault="00F955EB">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97A4FA1E">
      <w:start w:val="1"/>
      <w:numFmt w:val="bullet"/>
      <w:lvlText w:val=""/>
      <w:lvlJc w:val="left"/>
      <w:pPr>
        <w:ind w:left="990" w:hanging="360"/>
      </w:pPr>
      <w:rPr>
        <w:rFonts w:ascii="Symbol" w:hAnsi="Symbol" w:hint="default"/>
      </w:rPr>
    </w:lvl>
    <w:lvl w:ilvl="1" w:tplc="0F1273F6" w:tentative="1">
      <w:start w:val="1"/>
      <w:numFmt w:val="bullet"/>
      <w:lvlText w:val="o"/>
      <w:lvlJc w:val="left"/>
      <w:pPr>
        <w:ind w:left="1710" w:hanging="360"/>
      </w:pPr>
      <w:rPr>
        <w:rFonts w:ascii="Courier New" w:hAnsi="Courier New" w:cs="Courier New" w:hint="default"/>
      </w:rPr>
    </w:lvl>
    <w:lvl w:ilvl="2" w:tplc="3CB07F2E" w:tentative="1">
      <w:start w:val="1"/>
      <w:numFmt w:val="bullet"/>
      <w:lvlText w:val=""/>
      <w:lvlJc w:val="left"/>
      <w:pPr>
        <w:ind w:left="2430" w:hanging="360"/>
      </w:pPr>
      <w:rPr>
        <w:rFonts w:ascii="Wingdings" w:hAnsi="Wingdings" w:hint="default"/>
      </w:rPr>
    </w:lvl>
    <w:lvl w:ilvl="3" w:tplc="A6D8322A" w:tentative="1">
      <w:start w:val="1"/>
      <w:numFmt w:val="bullet"/>
      <w:lvlText w:val=""/>
      <w:lvlJc w:val="left"/>
      <w:pPr>
        <w:ind w:left="3150" w:hanging="360"/>
      </w:pPr>
      <w:rPr>
        <w:rFonts w:ascii="Symbol" w:hAnsi="Symbol" w:hint="default"/>
      </w:rPr>
    </w:lvl>
    <w:lvl w:ilvl="4" w:tplc="F1A6F720" w:tentative="1">
      <w:start w:val="1"/>
      <w:numFmt w:val="bullet"/>
      <w:lvlText w:val="o"/>
      <w:lvlJc w:val="left"/>
      <w:pPr>
        <w:ind w:left="3870" w:hanging="360"/>
      </w:pPr>
      <w:rPr>
        <w:rFonts w:ascii="Courier New" w:hAnsi="Courier New" w:cs="Courier New" w:hint="default"/>
      </w:rPr>
    </w:lvl>
    <w:lvl w:ilvl="5" w:tplc="0F2C53B4" w:tentative="1">
      <w:start w:val="1"/>
      <w:numFmt w:val="bullet"/>
      <w:lvlText w:val=""/>
      <w:lvlJc w:val="left"/>
      <w:pPr>
        <w:ind w:left="4590" w:hanging="360"/>
      </w:pPr>
      <w:rPr>
        <w:rFonts w:ascii="Wingdings" w:hAnsi="Wingdings" w:hint="default"/>
      </w:rPr>
    </w:lvl>
    <w:lvl w:ilvl="6" w:tplc="7E0E5C3A" w:tentative="1">
      <w:start w:val="1"/>
      <w:numFmt w:val="bullet"/>
      <w:lvlText w:val=""/>
      <w:lvlJc w:val="left"/>
      <w:pPr>
        <w:ind w:left="5310" w:hanging="360"/>
      </w:pPr>
      <w:rPr>
        <w:rFonts w:ascii="Symbol" w:hAnsi="Symbol" w:hint="default"/>
      </w:rPr>
    </w:lvl>
    <w:lvl w:ilvl="7" w:tplc="75A6FFE0" w:tentative="1">
      <w:start w:val="1"/>
      <w:numFmt w:val="bullet"/>
      <w:lvlText w:val="o"/>
      <w:lvlJc w:val="left"/>
      <w:pPr>
        <w:ind w:left="6030" w:hanging="360"/>
      </w:pPr>
      <w:rPr>
        <w:rFonts w:ascii="Courier New" w:hAnsi="Courier New" w:cs="Courier New" w:hint="default"/>
      </w:rPr>
    </w:lvl>
    <w:lvl w:ilvl="8" w:tplc="BC967026"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5D54FA3E">
      <w:start w:val="1"/>
      <w:numFmt w:val="bullet"/>
      <w:lvlText w:val=""/>
      <w:lvlJc w:val="left"/>
      <w:pPr>
        <w:ind w:left="720" w:hanging="360"/>
      </w:pPr>
      <w:rPr>
        <w:rFonts w:ascii="Symbol" w:hAnsi="Symbol" w:hint="default"/>
        <w:color w:val="7FC444"/>
      </w:rPr>
    </w:lvl>
    <w:lvl w:ilvl="1" w:tplc="E51ADC3C" w:tentative="1">
      <w:start w:val="1"/>
      <w:numFmt w:val="bullet"/>
      <w:lvlText w:val="o"/>
      <w:lvlJc w:val="left"/>
      <w:pPr>
        <w:ind w:left="1800" w:hanging="360"/>
      </w:pPr>
      <w:rPr>
        <w:rFonts w:ascii="Courier New" w:hAnsi="Courier New" w:cs="Courier New" w:hint="default"/>
      </w:rPr>
    </w:lvl>
    <w:lvl w:ilvl="2" w:tplc="7B8AE374" w:tentative="1">
      <w:start w:val="1"/>
      <w:numFmt w:val="bullet"/>
      <w:lvlText w:val=""/>
      <w:lvlJc w:val="left"/>
      <w:pPr>
        <w:ind w:left="2520" w:hanging="360"/>
      </w:pPr>
      <w:rPr>
        <w:rFonts w:ascii="Wingdings" w:hAnsi="Wingdings" w:hint="default"/>
      </w:rPr>
    </w:lvl>
    <w:lvl w:ilvl="3" w:tplc="7960C416" w:tentative="1">
      <w:start w:val="1"/>
      <w:numFmt w:val="bullet"/>
      <w:lvlText w:val=""/>
      <w:lvlJc w:val="left"/>
      <w:pPr>
        <w:ind w:left="3240" w:hanging="360"/>
      </w:pPr>
      <w:rPr>
        <w:rFonts w:ascii="Symbol" w:hAnsi="Symbol" w:hint="default"/>
      </w:rPr>
    </w:lvl>
    <w:lvl w:ilvl="4" w:tplc="1F903384" w:tentative="1">
      <w:start w:val="1"/>
      <w:numFmt w:val="bullet"/>
      <w:lvlText w:val="o"/>
      <w:lvlJc w:val="left"/>
      <w:pPr>
        <w:ind w:left="3960" w:hanging="360"/>
      </w:pPr>
      <w:rPr>
        <w:rFonts w:ascii="Courier New" w:hAnsi="Courier New" w:cs="Courier New" w:hint="default"/>
      </w:rPr>
    </w:lvl>
    <w:lvl w:ilvl="5" w:tplc="CD76D53E" w:tentative="1">
      <w:start w:val="1"/>
      <w:numFmt w:val="bullet"/>
      <w:lvlText w:val=""/>
      <w:lvlJc w:val="left"/>
      <w:pPr>
        <w:ind w:left="4680" w:hanging="360"/>
      </w:pPr>
      <w:rPr>
        <w:rFonts w:ascii="Wingdings" w:hAnsi="Wingdings" w:hint="default"/>
      </w:rPr>
    </w:lvl>
    <w:lvl w:ilvl="6" w:tplc="43D482B0" w:tentative="1">
      <w:start w:val="1"/>
      <w:numFmt w:val="bullet"/>
      <w:lvlText w:val=""/>
      <w:lvlJc w:val="left"/>
      <w:pPr>
        <w:ind w:left="5400" w:hanging="360"/>
      </w:pPr>
      <w:rPr>
        <w:rFonts w:ascii="Symbol" w:hAnsi="Symbol" w:hint="default"/>
      </w:rPr>
    </w:lvl>
    <w:lvl w:ilvl="7" w:tplc="3A38CFD6" w:tentative="1">
      <w:start w:val="1"/>
      <w:numFmt w:val="bullet"/>
      <w:lvlText w:val="o"/>
      <w:lvlJc w:val="left"/>
      <w:pPr>
        <w:ind w:left="6120" w:hanging="360"/>
      </w:pPr>
      <w:rPr>
        <w:rFonts w:ascii="Courier New" w:hAnsi="Courier New" w:cs="Courier New" w:hint="default"/>
      </w:rPr>
    </w:lvl>
    <w:lvl w:ilvl="8" w:tplc="D614573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D2D6D616">
      <w:start w:val="1"/>
      <w:numFmt w:val="bullet"/>
      <w:lvlText w:val=""/>
      <w:lvlJc w:val="left"/>
      <w:pPr>
        <w:ind w:left="720" w:hanging="360"/>
      </w:pPr>
      <w:rPr>
        <w:rFonts w:ascii="Symbol" w:hAnsi="Symbol" w:hint="default"/>
        <w:color w:val="auto"/>
      </w:rPr>
    </w:lvl>
    <w:lvl w:ilvl="1" w:tplc="9C6098CE" w:tentative="1">
      <w:start w:val="1"/>
      <w:numFmt w:val="bullet"/>
      <w:lvlText w:val="o"/>
      <w:lvlJc w:val="left"/>
      <w:pPr>
        <w:ind w:left="1440" w:hanging="360"/>
      </w:pPr>
      <w:rPr>
        <w:rFonts w:ascii="Courier New" w:hAnsi="Courier New" w:cs="Courier New" w:hint="default"/>
      </w:rPr>
    </w:lvl>
    <w:lvl w:ilvl="2" w:tplc="C198585E" w:tentative="1">
      <w:start w:val="1"/>
      <w:numFmt w:val="bullet"/>
      <w:lvlText w:val=""/>
      <w:lvlJc w:val="left"/>
      <w:pPr>
        <w:ind w:left="2160" w:hanging="360"/>
      </w:pPr>
      <w:rPr>
        <w:rFonts w:ascii="Wingdings" w:hAnsi="Wingdings" w:hint="default"/>
      </w:rPr>
    </w:lvl>
    <w:lvl w:ilvl="3" w:tplc="9342F2AA" w:tentative="1">
      <w:start w:val="1"/>
      <w:numFmt w:val="bullet"/>
      <w:lvlText w:val=""/>
      <w:lvlJc w:val="left"/>
      <w:pPr>
        <w:ind w:left="2880" w:hanging="360"/>
      </w:pPr>
      <w:rPr>
        <w:rFonts w:ascii="Symbol" w:hAnsi="Symbol" w:hint="default"/>
      </w:rPr>
    </w:lvl>
    <w:lvl w:ilvl="4" w:tplc="F54C1262" w:tentative="1">
      <w:start w:val="1"/>
      <w:numFmt w:val="bullet"/>
      <w:lvlText w:val="o"/>
      <w:lvlJc w:val="left"/>
      <w:pPr>
        <w:ind w:left="3600" w:hanging="360"/>
      </w:pPr>
      <w:rPr>
        <w:rFonts w:ascii="Courier New" w:hAnsi="Courier New" w:cs="Courier New" w:hint="default"/>
      </w:rPr>
    </w:lvl>
    <w:lvl w:ilvl="5" w:tplc="A8F8DD76" w:tentative="1">
      <w:start w:val="1"/>
      <w:numFmt w:val="bullet"/>
      <w:lvlText w:val=""/>
      <w:lvlJc w:val="left"/>
      <w:pPr>
        <w:ind w:left="4320" w:hanging="360"/>
      </w:pPr>
      <w:rPr>
        <w:rFonts w:ascii="Wingdings" w:hAnsi="Wingdings" w:hint="default"/>
      </w:rPr>
    </w:lvl>
    <w:lvl w:ilvl="6" w:tplc="754096D0" w:tentative="1">
      <w:start w:val="1"/>
      <w:numFmt w:val="bullet"/>
      <w:lvlText w:val=""/>
      <w:lvlJc w:val="left"/>
      <w:pPr>
        <w:ind w:left="5040" w:hanging="360"/>
      </w:pPr>
      <w:rPr>
        <w:rFonts w:ascii="Symbol" w:hAnsi="Symbol" w:hint="default"/>
      </w:rPr>
    </w:lvl>
    <w:lvl w:ilvl="7" w:tplc="3FB2F37C" w:tentative="1">
      <w:start w:val="1"/>
      <w:numFmt w:val="bullet"/>
      <w:lvlText w:val="o"/>
      <w:lvlJc w:val="left"/>
      <w:pPr>
        <w:ind w:left="5760" w:hanging="360"/>
      </w:pPr>
      <w:rPr>
        <w:rFonts w:ascii="Courier New" w:hAnsi="Courier New" w:cs="Courier New" w:hint="default"/>
      </w:rPr>
    </w:lvl>
    <w:lvl w:ilvl="8" w:tplc="60C600E6"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23C47F8C">
      <w:start w:val="1"/>
      <w:numFmt w:val="bullet"/>
      <w:lvlText w:val=""/>
      <w:lvlJc w:val="left"/>
      <w:pPr>
        <w:ind w:left="720" w:hanging="360"/>
      </w:pPr>
      <w:rPr>
        <w:rFonts w:ascii="Symbol" w:hAnsi="Symbol" w:hint="default"/>
        <w:color w:val="7FC444"/>
      </w:rPr>
    </w:lvl>
    <w:lvl w:ilvl="1" w:tplc="9CCEFDFC" w:tentative="1">
      <w:start w:val="1"/>
      <w:numFmt w:val="bullet"/>
      <w:lvlText w:val="o"/>
      <w:lvlJc w:val="left"/>
      <w:pPr>
        <w:ind w:left="1440" w:hanging="360"/>
      </w:pPr>
      <w:rPr>
        <w:rFonts w:ascii="Courier New" w:hAnsi="Courier New" w:cs="Courier New" w:hint="default"/>
      </w:rPr>
    </w:lvl>
    <w:lvl w:ilvl="2" w:tplc="6D70DFC4" w:tentative="1">
      <w:start w:val="1"/>
      <w:numFmt w:val="bullet"/>
      <w:lvlText w:val=""/>
      <w:lvlJc w:val="left"/>
      <w:pPr>
        <w:ind w:left="2160" w:hanging="360"/>
      </w:pPr>
      <w:rPr>
        <w:rFonts w:ascii="Wingdings" w:hAnsi="Wingdings" w:hint="default"/>
      </w:rPr>
    </w:lvl>
    <w:lvl w:ilvl="3" w:tplc="F3602A56" w:tentative="1">
      <w:start w:val="1"/>
      <w:numFmt w:val="bullet"/>
      <w:lvlText w:val=""/>
      <w:lvlJc w:val="left"/>
      <w:pPr>
        <w:ind w:left="2880" w:hanging="360"/>
      </w:pPr>
      <w:rPr>
        <w:rFonts w:ascii="Symbol" w:hAnsi="Symbol" w:hint="default"/>
      </w:rPr>
    </w:lvl>
    <w:lvl w:ilvl="4" w:tplc="8C4E0E42" w:tentative="1">
      <w:start w:val="1"/>
      <w:numFmt w:val="bullet"/>
      <w:lvlText w:val="o"/>
      <w:lvlJc w:val="left"/>
      <w:pPr>
        <w:ind w:left="3600" w:hanging="360"/>
      </w:pPr>
      <w:rPr>
        <w:rFonts w:ascii="Courier New" w:hAnsi="Courier New" w:cs="Courier New" w:hint="default"/>
      </w:rPr>
    </w:lvl>
    <w:lvl w:ilvl="5" w:tplc="37562A98" w:tentative="1">
      <w:start w:val="1"/>
      <w:numFmt w:val="bullet"/>
      <w:lvlText w:val=""/>
      <w:lvlJc w:val="left"/>
      <w:pPr>
        <w:ind w:left="4320" w:hanging="360"/>
      </w:pPr>
      <w:rPr>
        <w:rFonts w:ascii="Wingdings" w:hAnsi="Wingdings" w:hint="default"/>
      </w:rPr>
    </w:lvl>
    <w:lvl w:ilvl="6" w:tplc="5EFA041A" w:tentative="1">
      <w:start w:val="1"/>
      <w:numFmt w:val="bullet"/>
      <w:lvlText w:val=""/>
      <w:lvlJc w:val="left"/>
      <w:pPr>
        <w:ind w:left="5040" w:hanging="360"/>
      </w:pPr>
      <w:rPr>
        <w:rFonts w:ascii="Symbol" w:hAnsi="Symbol" w:hint="default"/>
      </w:rPr>
    </w:lvl>
    <w:lvl w:ilvl="7" w:tplc="A486351E" w:tentative="1">
      <w:start w:val="1"/>
      <w:numFmt w:val="bullet"/>
      <w:lvlText w:val="o"/>
      <w:lvlJc w:val="left"/>
      <w:pPr>
        <w:ind w:left="5760" w:hanging="360"/>
      </w:pPr>
      <w:rPr>
        <w:rFonts w:ascii="Courier New" w:hAnsi="Courier New" w:cs="Courier New" w:hint="default"/>
      </w:rPr>
    </w:lvl>
    <w:lvl w:ilvl="8" w:tplc="25D0FB28"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2B46683C"/>
    <w:lvl w:ilvl="0" w:tplc="533230C0">
      <w:start w:val="1"/>
      <w:numFmt w:val="decimal"/>
      <w:lvlText w:val="%1."/>
      <w:lvlJc w:val="left"/>
      <w:pPr>
        <w:ind w:left="720" w:hanging="360"/>
      </w:pPr>
      <w:rPr>
        <w:rFonts w:ascii="Arial" w:hAnsi="Arial" w:hint="default"/>
        <w:b/>
        <w:i w:val="0"/>
        <w:color w:val="auto"/>
      </w:rPr>
    </w:lvl>
    <w:lvl w:ilvl="1" w:tplc="65CA84B0" w:tentative="1">
      <w:start w:val="1"/>
      <w:numFmt w:val="lowerLetter"/>
      <w:lvlText w:val="%2."/>
      <w:lvlJc w:val="left"/>
      <w:pPr>
        <w:ind w:left="1440" w:hanging="360"/>
      </w:pPr>
    </w:lvl>
    <w:lvl w:ilvl="2" w:tplc="F5E2846A" w:tentative="1">
      <w:start w:val="1"/>
      <w:numFmt w:val="lowerRoman"/>
      <w:lvlText w:val="%3."/>
      <w:lvlJc w:val="right"/>
      <w:pPr>
        <w:ind w:left="2160" w:hanging="180"/>
      </w:pPr>
    </w:lvl>
    <w:lvl w:ilvl="3" w:tplc="4D901876" w:tentative="1">
      <w:start w:val="1"/>
      <w:numFmt w:val="decimal"/>
      <w:lvlText w:val="%4."/>
      <w:lvlJc w:val="left"/>
      <w:pPr>
        <w:ind w:left="2880" w:hanging="360"/>
      </w:pPr>
    </w:lvl>
    <w:lvl w:ilvl="4" w:tplc="D862E15C" w:tentative="1">
      <w:start w:val="1"/>
      <w:numFmt w:val="lowerLetter"/>
      <w:lvlText w:val="%5."/>
      <w:lvlJc w:val="left"/>
      <w:pPr>
        <w:ind w:left="3600" w:hanging="360"/>
      </w:pPr>
    </w:lvl>
    <w:lvl w:ilvl="5" w:tplc="191A51B4" w:tentative="1">
      <w:start w:val="1"/>
      <w:numFmt w:val="lowerRoman"/>
      <w:lvlText w:val="%6."/>
      <w:lvlJc w:val="right"/>
      <w:pPr>
        <w:ind w:left="4320" w:hanging="180"/>
      </w:pPr>
    </w:lvl>
    <w:lvl w:ilvl="6" w:tplc="B540D5D4" w:tentative="1">
      <w:start w:val="1"/>
      <w:numFmt w:val="decimal"/>
      <w:lvlText w:val="%7."/>
      <w:lvlJc w:val="left"/>
      <w:pPr>
        <w:ind w:left="5040" w:hanging="360"/>
      </w:pPr>
    </w:lvl>
    <w:lvl w:ilvl="7" w:tplc="A50C6D84" w:tentative="1">
      <w:start w:val="1"/>
      <w:numFmt w:val="lowerLetter"/>
      <w:lvlText w:val="%8."/>
      <w:lvlJc w:val="left"/>
      <w:pPr>
        <w:ind w:left="5760" w:hanging="360"/>
      </w:pPr>
    </w:lvl>
    <w:lvl w:ilvl="8" w:tplc="E996A4B6"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05284AF4">
      <w:start w:val="1"/>
      <w:numFmt w:val="bullet"/>
      <w:lvlText w:val=""/>
      <w:lvlJc w:val="left"/>
      <w:pPr>
        <w:ind w:left="720" w:hanging="360"/>
      </w:pPr>
      <w:rPr>
        <w:rFonts w:ascii="Symbol" w:hAnsi="Symbol" w:hint="default"/>
        <w:color w:val="7FC444"/>
      </w:rPr>
    </w:lvl>
    <w:lvl w:ilvl="1" w:tplc="FAB8F230" w:tentative="1">
      <w:start w:val="1"/>
      <w:numFmt w:val="bullet"/>
      <w:lvlText w:val="o"/>
      <w:lvlJc w:val="left"/>
      <w:pPr>
        <w:ind w:left="1440" w:hanging="360"/>
      </w:pPr>
      <w:rPr>
        <w:rFonts w:ascii="Courier New" w:hAnsi="Courier New" w:cs="Courier New" w:hint="default"/>
      </w:rPr>
    </w:lvl>
    <w:lvl w:ilvl="2" w:tplc="A78E7484" w:tentative="1">
      <w:start w:val="1"/>
      <w:numFmt w:val="bullet"/>
      <w:lvlText w:val=""/>
      <w:lvlJc w:val="left"/>
      <w:pPr>
        <w:ind w:left="2160" w:hanging="360"/>
      </w:pPr>
      <w:rPr>
        <w:rFonts w:ascii="Wingdings" w:hAnsi="Wingdings" w:hint="default"/>
      </w:rPr>
    </w:lvl>
    <w:lvl w:ilvl="3" w:tplc="57ACB5F8" w:tentative="1">
      <w:start w:val="1"/>
      <w:numFmt w:val="bullet"/>
      <w:lvlText w:val=""/>
      <w:lvlJc w:val="left"/>
      <w:pPr>
        <w:ind w:left="2880" w:hanging="360"/>
      </w:pPr>
      <w:rPr>
        <w:rFonts w:ascii="Symbol" w:hAnsi="Symbol" w:hint="default"/>
      </w:rPr>
    </w:lvl>
    <w:lvl w:ilvl="4" w:tplc="97FC11A0" w:tentative="1">
      <w:start w:val="1"/>
      <w:numFmt w:val="bullet"/>
      <w:lvlText w:val="o"/>
      <w:lvlJc w:val="left"/>
      <w:pPr>
        <w:ind w:left="3600" w:hanging="360"/>
      </w:pPr>
      <w:rPr>
        <w:rFonts w:ascii="Courier New" w:hAnsi="Courier New" w:cs="Courier New" w:hint="default"/>
      </w:rPr>
    </w:lvl>
    <w:lvl w:ilvl="5" w:tplc="78A48FEA" w:tentative="1">
      <w:start w:val="1"/>
      <w:numFmt w:val="bullet"/>
      <w:lvlText w:val=""/>
      <w:lvlJc w:val="left"/>
      <w:pPr>
        <w:ind w:left="4320" w:hanging="360"/>
      </w:pPr>
      <w:rPr>
        <w:rFonts w:ascii="Wingdings" w:hAnsi="Wingdings" w:hint="default"/>
      </w:rPr>
    </w:lvl>
    <w:lvl w:ilvl="6" w:tplc="6E4A7C6C" w:tentative="1">
      <w:start w:val="1"/>
      <w:numFmt w:val="bullet"/>
      <w:lvlText w:val=""/>
      <w:lvlJc w:val="left"/>
      <w:pPr>
        <w:ind w:left="5040" w:hanging="360"/>
      </w:pPr>
      <w:rPr>
        <w:rFonts w:ascii="Symbol" w:hAnsi="Symbol" w:hint="default"/>
      </w:rPr>
    </w:lvl>
    <w:lvl w:ilvl="7" w:tplc="ACA259B6" w:tentative="1">
      <w:start w:val="1"/>
      <w:numFmt w:val="bullet"/>
      <w:lvlText w:val="o"/>
      <w:lvlJc w:val="left"/>
      <w:pPr>
        <w:ind w:left="5760" w:hanging="360"/>
      </w:pPr>
      <w:rPr>
        <w:rFonts w:ascii="Courier New" w:hAnsi="Courier New" w:cs="Courier New" w:hint="default"/>
      </w:rPr>
    </w:lvl>
    <w:lvl w:ilvl="8" w:tplc="31A25C84" w:tentative="1">
      <w:start w:val="1"/>
      <w:numFmt w:val="bullet"/>
      <w:lvlText w:val=""/>
      <w:lvlJc w:val="left"/>
      <w:pPr>
        <w:ind w:left="6480" w:hanging="360"/>
      </w:pPr>
      <w:rPr>
        <w:rFonts w:ascii="Wingdings" w:hAnsi="Wingdings" w:hint="default"/>
      </w:rPr>
    </w:lvl>
  </w:abstractNum>
  <w:abstractNum w:abstractNumId="6" w15:restartNumberingAfterBreak="0">
    <w:nsid w:val="6CD90448"/>
    <w:multiLevelType w:val="hybridMultilevel"/>
    <w:tmpl w:val="F94C7D8C"/>
    <w:lvl w:ilvl="0" w:tplc="E9864978">
      <w:start w:val="1"/>
      <w:numFmt w:val="bullet"/>
      <w:lvlText w:val=""/>
      <w:lvlJc w:val="left"/>
      <w:pPr>
        <w:ind w:left="1440" w:hanging="360"/>
      </w:pPr>
      <w:rPr>
        <w:rFonts w:ascii="Symbol" w:hAnsi="Symbol" w:hint="default"/>
      </w:rPr>
    </w:lvl>
    <w:lvl w:ilvl="1" w:tplc="F572AE58" w:tentative="1">
      <w:start w:val="1"/>
      <w:numFmt w:val="bullet"/>
      <w:lvlText w:val="o"/>
      <w:lvlJc w:val="left"/>
      <w:pPr>
        <w:ind w:left="2160" w:hanging="360"/>
      </w:pPr>
      <w:rPr>
        <w:rFonts w:ascii="Courier New" w:hAnsi="Courier New" w:cs="Courier New" w:hint="default"/>
      </w:rPr>
    </w:lvl>
    <w:lvl w:ilvl="2" w:tplc="F97C9E04" w:tentative="1">
      <w:start w:val="1"/>
      <w:numFmt w:val="bullet"/>
      <w:lvlText w:val=""/>
      <w:lvlJc w:val="left"/>
      <w:pPr>
        <w:ind w:left="2880" w:hanging="360"/>
      </w:pPr>
      <w:rPr>
        <w:rFonts w:ascii="Wingdings" w:hAnsi="Wingdings" w:hint="default"/>
      </w:rPr>
    </w:lvl>
    <w:lvl w:ilvl="3" w:tplc="9762F6B4" w:tentative="1">
      <w:start w:val="1"/>
      <w:numFmt w:val="bullet"/>
      <w:lvlText w:val=""/>
      <w:lvlJc w:val="left"/>
      <w:pPr>
        <w:ind w:left="3600" w:hanging="360"/>
      </w:pPr>
      <w:rPr>
        <w:rFonts w:ascii="Symbol" w:hAnsi="Symbol" w:hint="default"/>
      </w:rPr>
    </w:lvl>
    <w:lvl w:ilvl="4" w:tplc="FF620328" w:tentative="1">
      <w:start w:val="1"/>
      <w:numFmt w:val="bullet"/>
      <w:lvlText w:val="o"/>
      <w:lvlJc w:val="left"/>
      <w:pPr>
        <w:ind w:left="4320" w:hanging="360"/>
      </w:pPr>
      <w:rPr>
        <w:rFonts w:ascii="Courier New" w:hAnsi="Courier New" w:cs="Courier New" w:hint="default"/>
      </w:rPr>
    </w:lvl>
    <w:lvl w:ilvl="5" w:tplc="4F607482" w:tentative="1">
      <w:start w:val="1"/>
      <w:numFmt w:val="bullet"/>
      <w:lvlText w:val=""/>
      <w:lvlJc w:val="left"/>
      <w:pPr>
        <w:ind w:left="5040" w:hanging="360"/>
      </w:pPr>
      <w:rPr>
        <w:rFonts w:ascii="Wingdings" w:hAnsi="Wingdings" w:hint="default"/>
      </w:rPr>
    </w:lvl>
    <w:lvl w:ilvl="6" w:tplc="0AFA6AB4" w:tentative="1">
      <w:start w:val="1"/>
      <w:numFmt w:val="bullet"/>
      <w:lvlText w:val=""/>
      <w:lvlJc w:val="left"/>
      <w:pPr>
        <w:ind w:left="5760" w:hanging="360"/>
      </w:pPr>
      <w:rPr>
        <w:rFonts w:ascii="Symbol" w:hAnsi="Symbol" w:hint="default"/>
      </w:rPr>
    </w:lvl>
    <w:lvl w:ilvl="7" w:tplc="1C2E560A" w:tentative="1">
      <w:start w:val="1"/>
      <w:numFmt w:val="bullet"/>
      <w:lvlText w:val="o"/>
      <w:lvlJc w:val="left"/>
      <w:pPr>
        <w:ind w:left="6480" w:hanging="360"/>
      </w:pPr>
      <w:rPr>
        <w:rFonts w:ascii="Courier New" w:hAnsi="Courier New" w:cs="Courier New" w:hint="default"/>
      </w:rPr>
    </w:lvl>
    <w:lvl w:ilvl="8" w:tplc="33466812" w:tentative="1">
      <w:start w:val="1"/>
      <w:numFmt w:val="bullet"/>
      <w:lvlText w:val=""/>
      <w:lvlJc w:val="left"/>
      <w:pPr>
        <w:ind w:left="7200" w:hanging="360"/>
      </w:pPr>
      <w:rPr>
        <w:rFonts w:ascii="Wingdings" w:hAnsi="Wingdings" w:hint="default"/>
      </w:rPr>
    </w:lvl>
  </w:abstractNum>
  <w:abstractNum w:abstractNumId="7" w15:restartNumberingAfterBreak="0">
    <w:nsid w:val="6E981066"/>
    <w:multiLevelType w:val="hybridMultilevel"/>
    <w:tmpl w:val="29A03522"/>
    <w:lvl w:ilvl="0" w:tplc="692C26E0">
      <w:start w:val="1"/>
      <w:numFmt w:val="bullet"/>
      <w:lvlText w:val=""/>
      <w:lvlJc w:val="left"/>
      <w:pPr>
        <w:ind w:left="720" w:hanging="360"/>
      </w:pPr>
      <w:rPr>
        <w:rFonts w:ascii="Symbol" w:hAnsi="Symbol" w:hint="default"/>
        <w:color w:val="7FC444"/>
      </w:rPr>
    </w:lvl>
    <w:lvl w:ilvl="1" w:tplc="B608CF04" w:tentative="1">
      <w:start w:val="1"/>
      <w:numFmt w:val="bullet"/>
      <w:lvlText w:val="o"/>
      <w:lvlJc w:val="left"/>
      <w:pPr>
        <w:ind w:left="1440" w:hanging="360"/>
      </w:pPr>
      <w:rPr>
        <w:rFonts w:ascii="Courier New" w:hAnsi="Courier New" w:cs="Courier New" w:hint="default"/>
      </w:rPr>
    </w:lvl>
    <w:lvl w:ilvl="2" w:tplc="773231A2" w:tentative="1">
      <w:start w:val="1"/>
      <w:numFmt w:val="bullet"/>
      <w:lvlText w:val=""/>
      <w:lvlJc w:val="left"/>
      <w:pPr>
        <w:ind w:left="2160" w:hanging="360"/>
      </w:pPr>
      <w:rPr>
        <w:rFonts w:ascii="Wingdings" w:hAnsi="Wingdings" w:hint="default"/>
      </w:rPr>
    </w:lvl>
    <w:lvl w:ilvl="3" w:tplc="7110D166" w:tentative="1">
      <w:start w:val="1"/>
      <w:numFmt w:val="bullet"/>
      <w:lvlText w:val=""/>
      <w:lvlJc w:val="left"/>
      <w:pPr>
        <w:ind w:left="2880" w:hanging="360"/>
      </w:pPr>
      <w:rPr>
        <w:rFonts w:ascii="Symbol" w:hAnsi="Symbol" w:hint="default"/>
      </w:rPr>
    </w:lvl>
    <w:lvl w:ilvl="4" w:tplc="E864F40C" w:tentative="1">
      <w:start w:val="1"/>
      <w:numFmt w:val="bullet"/>
      <w:lvlText w:val="o"/>
      <w:lvlJc w:val="left"/>
      <w:pPr>
        <w:ind w:left="3600" w:hanging="360"/>
      </w:pPr>
      <w:rPr>
        <w:rFonts w:ascii="Courier New" w:hAnsi="Courier New" w:cs="Courier New" w:hint="default"/>
      </w:rPr>
    </w:lvl>
    <w:lvl w:ilvl="5" w:tplc="FACC2228" w:tentative="1">
      <w:start w:val="1"/>
      <w:numFmt w:val="bullet"/>
      <w:lvlText w:val=""/>
      <w:lvlJc w:val="left"/>
      <w:pPr>
        <w:ind w:left="4320" w:hanging="360"/>
      </w:pPr>
      <w:rPr>
        <w:rFonts w:ascii="Wingdings" w:hAnsi="Wingdings" w:hint="default"/>
      </w:rPr>
    </w:lvl>
    <w:lvl w:ilvl="6" w:tplc="D666865A" w:tentative="1">
      <w:start w:val="1"/>
      <w:numFmt w:val="bullet"/>
      <w:lvlText w:val=""/>
      <w:lvlJc w:val="left"/>
      <w:pPr>
        <w:ind w:left="5040" w:hanging="360"/>
      </w:pPr>
      <w:rPr>
        <w:rFonts w:ascii="Symbol" w:hAnsi="Symbol" w:hint="default"/>
      </w:rPr>
    </w:lvl>
    <w:lvl w:ilvl="7" w:tplc="D1D0B5EA" w:tentative="1">
      <w:start w:val="1"/>
      <w:numFmt w:val="bullet"/>
      <w:lvlText w:val="o"/>
      <w:lvlJc w:val="left"/>
      <w:pPr>
        <w:ind w:left="5760" w:hanging="360"/>
      </w:pPr>
      <w:rPr>
        <w:rFonts w:ascii="Courier New" w:hAnsi="Courier New" w:cs="Courier New" w:hint="default"/>
      </w:rPr>
    </w:lvl>
    <w:lvl w:ilvl="8" w:tplc="580AE254"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69487D5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73AB4A6" w:tentative="1">
      <w:start w:val="1"/>
      <w:numFmt w:val="bullet"/>
      <w:lvlText w:val="o"/>
      <w:lvlJc w:val="left"/>
      <w:pPr>
        <w:tabs>
          <w:tab w:val="num" w:pos="1440"/>
        </w:tabs>
        <w:ind w:left="1440" w:hanging="360"/>
      </w:pPr>
      <w:rPr>
        <w:rFonts w:ascii="Courier New" w:hAnsi="Courier New" w:hint="default"/>
      </w:rPr>
    </w:lvl>
    <w:lvl w:ilvl="2" w:tplc="E33CF076" w:tentative="1">
      <w:start w:val="1"/>
      <w:numFmt w:val="bullet"/>
      <w:lvlText w:val=""/>
      <w:lvlJc w:val="left"/>
      <w:pPr>
        <w:tabs>
          <w:tab w:val="num" w:pos="2160"/>
        </w:tabs>
        <w:ind w:left="2160" w:hanging="360"/>
      </w:pPr>
      <w:rPr>
        <w:rFonts w:ascii="Wingdings" w:hAnsi="Wingdings" w:hint="default"/>
      </w:rPr>
    </w:lvl>
    <w:lvl w:ilvl="3" w:tplc="9C9486CA" w:tentative="1">
      <w:start w:val="1"/>
      <w:numFmt w:val="bullet"/>
      <w:lvlText w:val=""/>
      <w:lvlJc w:val="left"/>
      <w:pPr>
        <w:tabs>
          <w:tab w:val="num" w:pos="2880"/>
        </w:tabs>
        <w:ind w:left="2880" w:hanging="360"/>
      </w:pPr>
      <w:rPr>
        <w:rFonts w:ascii="Symbol" w:hAnsi="Symbol" w:hint="default"/>
      </w:rPr>
    </w:lvl>
    <w:lvl w:ilvl="4" w:tplc="6B8C71D8" w:tentative="1">
      <w:start w:val="1"/>
      <w:numFmt w:val="bullet"/>
      <w:lvlText w:val="o"/>
      <w:lvlJc w:val="left"/>
      <w:pPr>
        <w:tabs>
          <w:tab w:val="num" w:pos="3600"/>
        </w:tabs>
        <w:ind w:left="3600" w:hanging="360"/>
      </w:pPr>
      <w:rPr>
        <w:rFonts w:ascii="Courier New" w:hAnsi="Courier New" w:hint="default"/>
      </w:rPr>
    </w:lvl>
    <w:lvl w:ilvl="5" w:tplc="02F6EE32" w:tentative="1">
      <w:start w:val="1"/>
      <w:numFmt w:val="bullet"/>
      <w:lvlText w:val=""/>
      <w:lvlJc w:val="left"/>
      <w:pPr>
        <w:tabs>
          <w:tab w:val="num" w:pos="4320"/>
        </w:tabs>
        <w:ind w:left="4320" w:hanging="360"/>
      </w:pPr>
      <w:rPr>
        <w:rFonts w:ascii="Wingdings" w:hAnsi="Wingdings" w:hint="default"/>
      </w:rPr>
    </w:lvl>
    <w:lvl w:ilvl="6" w:tplc="89B2F624" w:tentative="1">
      <w:start w:val="1"/>
      <w:numFmt w:val="bullet"/>
      <w:lvlText w:val=""/>
      <w:lvlJc w:val="left"/>
      <w:pPr>
        <w:tabs>
          <w:tab w:val="num" w:pos="5040"/>
        </w:tabs>
        <w:ind w:left="5040" w:hanging="360"/>
      </w:pPr>
      <w:rPr>
        <w:rFonts w:ascii="Symbol" w:hAnsi="Symbol" w:hint="default"/>
      </w:rPr>
    </w:lvl>
    <w:lvl w:ilvl="7" w:tplc="58145706" w:tentative="1">
      <w:start w:val="1"/>
      <w:numFmt w:val="bullet"/>
      <w:lvlText w:val="o"/>
      <w:lvlJc w:val="left"/>
      <w:pPr>
        <w:tabs>
          <w:tab w:val="num" w:pos="5760"/>
        </w:tabs>
        <w:ind w:left="5760" w:hanging="360"/>
      </w:pPr>
      <w:rPr>
        <w:rFonts w:ascii="Courier New" w:hAnsi="Courier New" w:hint="default"/>
      </w:rPr>
    </w:lvl>
    <w:lvl w:ilvl="8" w:tplc="FB381C1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0"/>
  </w:num>
  <w:num w:numId="7">
    <w:abstractNumId w:val="1"/>
  </w:num>
  <w:num w:numId="8">
    <w:abstractNumId w:val="4"/>
  </w:num>
  <w:num w:numId="9">
    <w:abstractNumId w:val="6"/>
  </w:num>
  <w:num w:numId="10">
    <w:abstractNumId w:val="4"/>
    <w:lvlOverride w:ilvl="0">
      <w:lvl w:ilvl="0" w:tplc="533230C0">
        <w:start w:val="1"/>
        <w:numFmt w:val="decimal"/>
        <w:lvlText w:val="%1."/>
        <w:lvlJc w:val="left"/>
        <w:pPr>
          <w:ind w:left="720" w:hanging="360"/>
        </w:pPr>
        <w:rPr>
          <w:rFonts w:ascii="Arial" w:hAnsi="Arial" w:hint="default"/>
          <w:b/>
          <w:i w:val="0"/>
          <w:color w:val="auto"/>
        </w:rPr>
      </w:lvl>
    </w:lvlOverride>
    <w:lvlOverride w:ilvl="1">
      <w:lvl w:ilvl="1" w:tplc="65CA84B0" w:tentative="1">
        <w:start w:val="1"/>
        <w:numFmt w:val="lowerLetter"/>
        <w:lvlText w:val="%2."/>
        <w:lvlJc w:val="left"/>
        <w:pPr>
          <w:ind w:left="1440" w:hanging="360"/>
        </w:pPr>
      </w:lvl>
    </w:lvlOverride>
    <w:lvlOverride w:ilvl="2">
      <w:lvl w:ilvl="2" w:tplc="F5E2846A" w:tentative="1">
        <w:start w:val="1"/>
        <w:numFmt w:val="lowerRoman"/>
        <w:lvlText w:val="%3."/>
        <w:lvlJc w:val="right"/>
        <w:pPr>
          <w:ind w:left="2160" w:hanging="180"/>
        </w:pPr>
      </w:lvl>
    </w:lvlOverride>
    <w:lvlOverride w:ilvl="3">
      <w:lvl w:ilvl="3" w:tplc="4D901876" w:tentative="1">
        <w:start w:val="1"/>
        <w:numFmt w:val="decimal"/>
        <w:lvlText w:val="%4."/>
        <w:lvlJc w:val="left"/>
        <w:pPr>
          <w:ind w:left="2880" w:hanging="360"/>
        </w:pPr>
      </w:lvl>
    </w:lvlOverride>
    <w:lvlOverride w:ilvl="4">
      <w:lvl w:ilvl="4" w:tplc="D862E15C" w:tentative="1">
        <w:start w:val="1"/>
        <w:numFmt w:val="lowerLetter"/>
        <w:lvlText w:val="%5."/>
        <w:lvlJc w:val="left"/>
        <w:pPr>
          <w:ind w:left="3600" w:hanging="360"/>
        </w:pPr>
      </w:lvl>
    </w:lvlOverride>
    <w:lvlOverride w:ilvl="5">
      <w:lvl w:ilvl="5" w:tplc="191A51B4" w:tentative="1">
        <w:start w:val="1"/>
        <w:numFmt w:val="lowerRoman"/>
        <w:lvlText w:val="%6."/>
        <w:lvlJc w:val="right"/>
        <w:pPr>
          <w:ind w:left="4320" w:hanging="180"/>
        </w:pPr>
      </w:lvl>
    </w:lvlOverride>
    <w:lvlOverride w:ilvl="6">
      <w:lvl w:ilvl="6" w:tplc="B540D5D4" w:tentative="1">
        <w:start w:val="1"/>
        <w:numFmt w:val="decimal"/>
        <w:lvlText w:val="%7."/>
        <w:lvlJc w:val="left"/>
        <w:pPr>
          <w:ind w:left="5040" w:hanging="360"/>
        </w:pPr>
      </w:lvl>
    </w:lvlOverride>
    <w:lvlOverride w:ilvl="7">
      <w:lvl w:ilvl="7" w:tplc="A50C6D84" w:tentative="1">
        <w:start w:val="1"/>
        <w:numFmt w:val="lowerLetter"/>
        <w:lvlText w:val="%8."/>
        <w:lvlJc w:val="left"/>
        <w:pPr>
          <w:ind w:left="5760" w:hanging="360"/>
        </w:pPr>
      </w:lvl>
    </w:lvlOverride>
    <w:lvlOverride w:ilvl="8">
      <w:lvl w:ilvl="8" w:tplc="E996A4B6"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BC"/>
    <w:rsid w:val="00DA51BC"/>
    <w:rsid w:val="00F9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24DC"/>
  <w15:docId w15:val="{A61BED39-5BD4-4AEE-9CAE-EB3A3C1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74996E-0EBD-41EC-BB32-D98B5911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Rebecca Heap</cp:lastModifiedBy>
  <cp:revision>6</cp:revision>
  <cp:lastPrinted>2014-03-21T13:56:00Z</cp:lastPrinted>
  <dcterms:created xsi:type="dcterms:W3CDTF">2021-05-09T16:25:00Z</dcterms:created>
  <dcterms:modified xsi:type="dcterms:W3CDTF">2021-05-10T17:13:00Z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Community Hubs Boost Fund - Round One Allocations</vt:lpwstr>
  </property>
  <property fmtid="{D5CDD505-2E9C-101B-9397-08002B2CF9AE}" pid="4" name="LeadDirector">
    <vt:lpwstr>Director of Communities</vt:lpwstr>
  </property>
  <property fmtid="{D5CDD505-2E9C-101B-9397-08002B2CF9AE}" pid="5" name="LeadOfficer">
    <vt:lpwstr>Rebecca Heap</vt:lpwstr>
  </property>
  <property fmtid="{D5CDD505-2E9C-101B-9397-08002B2CF9AE}" pid="6" name="LeadOfficerEmail">
    <vt:lpwstr>rheap@southribble.gov.uk</vt:lpwstr>
  </property>
  <property fmtid="{D5CDD505-2E9C-101B-9397-08002B2CF9AE}" pid="7" name="LeadOfficerPost">
    <vt:lpwstr>Senior Community Works Officer</vt:lpwstr>
  </property>
  <property fmtid="{D5CDD505-2E9C-101B-9397-08002B2CF9AE}" pid="8" name="MeetingDate">
    <vt:lpwstr>Wednesday, 19 May 2021</vt:lpwstr>
  </property>
</Properties>
</file>